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rPr>
          <w:smallCaps/>
        </w:rPr>
      </w:pPr>
      <w:r w:rsidRPr="00F53E0E">
        <w:rPr>
          <w:smallCaps/>
        </w:rPr>
        <w:t>Revolution of Love</w:t>
      </w:r>
    </w:p>
    <w:p w:rsidR="00FB2D18" w:rsidRPr="00F53E0E" w:rsidRDefault="00FB2D18" w:rsidP="00FB2D18">
      <w:pPr>
        <w:jc w:val="center"/>
      </w:pPr>
      <w:r w:rsidRPr="00F53E0E">
        <w:t xml:space="preserve">A Comparative Analysis of the Educational Philosophies </w:t>
      </w:r>
    </w:p>
    <w:p w:rsidR="00FB2D18" w:rsidRPr="00F53E0E" w:rsidRDefault="00FB2D18" w:rsidP="00FB2D18">
      <w:pPr>
        <w:jc w:val="center"/>
      </w:pPr>
      <w:proofErr w:type="gramStart"/>
      <w:r w:rsidRPr="00F53E0E">
        <w:t>of</w:t>
      </w:r>
      <w:proofErr w:type="gramEnd"/>
      <w:r w:rsidRPr="00F53E0E">
        <w:t xml:space="preserve"> Paulo </w:t>
      </w:r>
      <w:proofErr w:type="spellStart"/>
      <w:r w:rsidRPr="00F53E0E">
        <w:t>Freire</w:t>
      </w:r>
      <w:proofErr w:type="spellEnd"/>
      <w:r w:rsidRPr="00F53E0E">
        <w:t xml:space="preserve"> and Parker J. Palmer</w:t>
      </w:r>
    </w:p>
    <w:p w:rsidR="00FB2D18" w:rsidRPr="00F53E0E" w:rsidRDefault="00FB2D18" w:rsidP="00FB2D18">
      <w:pPr>
        <w:jc w:val="center"/>
        <w:rPr>
          <w:i/>
        </w:rP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r w:rsidRPr="00F53E0E">
        <w:t xml:space="preserve">John Patrick </w:t>
      </w:r>
      <w:proofErr w:type="spellStart"/>
      <w:r w:rsidRPr="00F53E0E">
        <w:t>Pazdziora</w:t>
      </w:r>
      <w:proofErr w:type="spellEnd"/>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jc w:val="center"/>
      </w:pPr>
    </w:p>
    <w:p w:rsidR="00FB2D18" w:rsidRPr="00F53E0E" w:rsidRDefault="004950BC" w:rsidP="00FB2D18">
      <w:pPr>
        <w:jc w:val="center"/>
      </w:pPr>
      <w:r>
        <w:t xml:space="preserve">A Paper for the Post-Graduate Certificate Module in </w:t>
      </w:r>
      <w:r w:rsidR="00FB2D18" w:rsidRPr="00F53E0E">
        <w:t>Theological Education</w:t>
      </w:r>
    </w:p>
    <w:p w:rsidR="00FB2D18" w:rsidRPr="00F53E0E" w:rsidRDefault="00FB2D18" w:rsidP="00FB2D18">
      <w:pPr>
        <w:jc w:val="center"/>
      </w:pPr>
      <w:proofErr w:type="spellStart"/>
      <w:r w:rsidRPr="00F53E0E">
        <w:t>Dr.</w:t>
      </w:r>
      <w:proofErr w:type="spellEnd"/>
      <w:r w:rsidRPr="00F53E0E">
        <w:t xml:space="preserve"> Graham Cheesman</w:t>
      </w:r>
    </w:p>
    <w:p w:rsidR="00FB2D18" w:rsidRPr="00F53E0E" w:rsidRDefault="00FB2D18" w:rsidP="00FB2D18">
      <w:pPr>
        <w:jc w:val="center"/>
      </w:pPr>
      <w:r w:rsidRPr="00F53E0E">
        <w:t>9 January 2009</w:t>
      </w:r>
      <w:bookmarkStart w:id="0" w:name="_GoBack"/>
      <w:bookmarkEnd w:id="0"/>
    </w:p>
    <w:p w:rsidR="00FB2D18" w:rsidRPr="00F53E0E" w:rsidRDefault="00FB2D18" w:rsidP="00FB2D18">
      <w:pPr>
        <w:jc w:val="center"/>
      </w:pPr>
    </w:p>
    <w:p w:rsidR="00FB2D18" w:rsidRPr="00F53E0E" w:rsidRDefault="00FB2D18" w:rsidP="00FB2D18">
      <w:pPr>
        <w:jc w:val="center"/>
      </w:pPr>
    </w:p>
    <w:p w:rsidR="00FB2D18" w:rsidRPr="00F53E0E" w:rsidRDefault="00FB2D18" w:rsidP="00FB2D18">
      <w:pPr>
        <w:spacing w:after="0" w:line="480" w:lineRule="auto"/>
        <w:rPr>
          <w:b/>
        </w:rPr>
      </w:pPr>
      <w:r w:rsidRPr="00F53E0E">
        <w:rPr>
          <w:smallCaps/>
        </w:rPr>
        <w:br w:type="page"/>
      </w:r>
      <w:r w:rsidRPr="00F53E0E">
        <w:rPr>
          <w:b/>
        </w:rPr>
        <w:lastRenderedPageBreak/>
        <w:t>Introduction</w:t>
      </w:r>
    </w:p>
    <w:p w:rsidR="00FB2D18" w:rsidRPr="00F53E0E" w:rsidRDefault="00FB2D18" w:rsidP="00FB2D18">
      <w:pPr>
        <w:spacing w:after="0" w:line="480" w:lineRule="auto"/>
        <w:ind w:firstLine="720"/>
      </w:pPr>
      <w:r w:rsidRPr="00F53E0E">
        <w:t>Criticism of the enlightenment has apparently become fashionable. The last few decades have seen a shift away from these enlightenment thought and methodologies, and the emergence of several new and potent educational philosophies.</w:t>
      </w:r>
    </w:p>
    <w:p w:rsidR="00FB2D18" w:rsidRPr="00F53E0E" w:rsidRDefault="00FB2D18" w:rsidP="00FB2D18">
      <w:pPr>
        <w:spacing w:after="0" w:line="480" w:lineRule="auto"/>
        <w:ind w:firstLine="720"/>
      </w:pPr>
      <w:r w:rsidRPr="00F53E0E">
        <w:t xml:space="preserve">The essay will discuss the educational philosophies of Paulo </w:t>
      </w:r>
      <w:proofErr w:type="spellStart"/>
      <w:r w:rsidRPr="00F53E0E">
        <w:t>Freire</w:t>
      </w:r>
      <w:proofErr w:type="spellEnd"/>
      <w:r w:rsidRPr="00F53E0E">
        <w:t xml:space="preserve"> and Parker J. Palmer.  Although both men have written several books, only their initial works will be </w:t>
      </w:r>
      <w:proofErr w:type="spellStart"/>
      <w:r w:rsidRPr="00F53E0E">
        <w:t>analyzed</w:t>
      </w:r>
      <w:proofErr w:type="spellEnd"/>
      <w:r w:rsidRPr="00F53E0E">
        <w:t xml:space="preserve"> here.  While there would be value in tracing the development of their thought, for the purposes of this essay, their seminal first monographs have both exerted the broader influence, and both served as the platform for their ideas.</w:t>
      </w:r>
    </w:p>
    <w:p w:rsidR="00FB2D18" w:rsidRPr="00F53E0E" w:rsidRDefault="00FB2D18" w:rsidP="00FB2D18">
      <w:pPr>
        <w:spacing w:after="0" w:line="480" w:lineRule="auto"/>
        <w:ind w:firstLine="720"/>
      </w:pPr>
      <w:r w:rsidRPr="00F53E0E">
        <w:t xml:space="preserve">The first two parts of the essay will take each thinker in turn.  It will discuss the key tenets in their epistemologies and show how they claim the enlightenment model of education violates these tenets.  It will then examine the proposed models of education, and the conditions under which they can function.  </w:t>
      </w:r>
    </w:p>
    <w:p w:rsidR="00FB2D18" w:rsidRPr="00F53E0E" w:rsidRDefault="00FB2D18" w:rsidP="00FB2D18">
      <w:pPr>
        <w:spacing w:after="0" w:line="480" w:lineRule="auto"/>
        <w:ind w:firstLine="720"/>
      </w:pPr>
      <w:r w:rsidRPr="00F53E0E">
        <w:t>Although both men describe in some detail practical implementation of their models, this discussion will focus almost exclusively on their philosophical thought.</w:t>
      </w:r>
      <w:r w:rsidRPr="00F53E0E">
        <w:rPr>
          <w:rStyle w:val="FootnoteReference"/>
        </w:rPr>
        <w:footnoteReference w:id="1"/>
      </w:r>
      <w:r w:rsidRPr="00F53E0E">
        <w:t xml:space="preserve">  Nor will it attempt to prescribe practical implementation of these philosophies.</w:t>
      </w:r>
    </w:p>
    <w:p w:rsidR="00FB2D18" w:rsidRPr="00F53E0E" w:rsidRDefault="00FB2D18" w:rsidP="00FB2D18">
      <w:pPr>
        <w:spacing w:after="0" w:line="480" w:lineRule="auto"/>
        <w:ind w:firstLine="720"/>
      </w:pPr>
      <w:r w:rsidRPr="00F53E0E">
        <w:t xml:space="preserve">It is the author’s belief that the contribution of </w:t>
      </w:r>
      <w:proofErr w:type="spellStart"/>
      <w:r w:rsidRPr="00F53E0E">
        <w:t>Freire</w:t>
      </w:r>
      <w:proofErr w:type="spellEnd"/>
      <w:r w:rsidRPr="00F53E0E">
        <w:t xml:space="preserve"> and Palmer goes beyond educational philosophy.  Education can be roughly defined as the transmission of knowledge; pedagogy and epistemology are therefore inseparable.  What both </w:t>
      </w:r>
      <w:proofErr w:type="spellStart"/>
      <w:r w:rsidRPr="00F53E0E">
        <w:t>Freire</w:t>
      </w:r>
      <w:proofErr w:type="spellEnd"/>
      <w:r w:rsidRPr="00F53E0E">
        <w:t xml:space="preserve"> and Palmer have done is to revision education from the roots up, not only the transmission, but also the knowledge.  They are not only suggesting new ways of teaching, but also new ways of knowing.</w:t>
      </w:r>
    </w:p>
    <w:p w:rsidR="00FB2D18" w:rsidRPr="00F53E0E" w:rsidRDefault="00FB2D18" w:rsidP="00FB2D18">
      <w:pPr>
        <w:spacing w:after="0" w:line="480" w:lineRule="auto"/>
        <w:ind w:firstLine="720"/>
      </w:pPr>
    </w:p>
    <w:p w:rsidR="00FB2D18" w:rsidRPr="00F53E0E" w:rsidRDefault="00FB2D18" w:rsidP="00FB2D18">
      <w:pPr>
        <w:spacing w:after="0" w:line="480" w:lineRule="auto"/>
        <w:rPr>
          <w:b/>
        </w:rPr>
      </w:pPr>
      <w:proofErr w:type="spellStart"/>
      <w:r w:rsidRPr="00F53E0E">
        <w:rPr>
          <w:b/>
        </w:rPr>
        <w:t>Freire</w:t>
      </w:r>
      <w:proofErr w:type="spellEnd"/>
      <w:r w:rsidRPr="00F53E0E">
        <w:rPr>
          <w:b/>
        </w:rPr>
        <w:t>: Educational Liberation</w:t>
      </w:r>
    </w:p>
    <w:p w:rsidR="00FB2D18" w:rsidRPr="00F53E0E" w:rsidRDefault="00FB2D18" w:rsidP="00FB2D18">
      <w:pPr>
        <w:spacing w:after="0" w:line="480" w:lineRule="auto"/>
        <w:ind w:firstLine="720"/>
      </w:pPr>
      <w:r w:rsidRPr="00F53E0E">
        <w:t xml:space="preserve">Paulo </w:t>
      </w:r>
      <w:proofErr w:type="spellStart"/>
      <w:r w:rsidRPr="00F53E0E">
        <w:t>Freire’s</w:t>
      </w:r>
      <w:proofErr w:type="spellEnd"/>
      <w:r w:rsidRPr="00F53E0E">
        <w:t xml:space="preserve"> </w:t>
      </w:r>
      <w:r w:rsidRPr="00F53E0E">
        <w:rPr>
          <w:i/>
        </w:rPr>
        <w:t>Pedagogy of the Oppressed</w:t>
      </w:r>
      <w:r w:rsidRPr="00F53E0E">
        <w:t xml:space="preserve"> is an act of defiance.</w:t>
      </w:r>
      <w:r w:rsidRPr="00F53E0E">
        <w:rPr>
          <w:rStyle w:val="FootnoteReference"/>
        </w:rPr>
        <w:footnoteReference w:id="2"/>
      </w:r>
      <w:r w:rsidRPr="00F53E0E">
        <w:t xml:space="preserve">  He calls for equality in the face of oppression, for solidarity in the face of exploitation, going beyond educational philosophy, to a philosophy of revolution.  His thought amounts to nothing less than a restructuring of Western epistemology.</w:t>
      </w:r>
      <w:r w:rsidRPr="00F53E0E">
        <w:rPr>
          <w:rStyle w:val="FootnoteReference"/>
        </w:rPr>
        <w:footnoteReference w:id="3"/>
      </w:r>
    </w:p>
    <w:p w:rsidR="00FB2D18" w:rsidRPr="00F53E0E" w:rsidRDefault="00FB2D18" w:rsidP="00FB2D18">
      <w:pPr>
        <w:spacing w:after="0" w:line="480" w:lineRule="auto"/>
        <w:ind w:firstLine="720"/>
      </w:pPr>
      <w:r w:rsidRPr="00F53E0E">
        <w:lastRenderedPageBreak/>
        <w:t xml:space="preserve">The heart of </w:t>
      </w:r>
      <w:proofErr w:type="spellStart"/>
      <w:r w:rsidRPr="00F53E0E">
        <w:t>Freire’s</w:t>
      </w:r>
      <w:proofErr w:type="spellEnd"/>
      <w:r w:rsidRPr="00F53E0E">
        <w:t xml:space="preserve"> thought is the dignity of the individual.  Education becomes integral to liberation, he insists, because it furthers the individual’s humanization.  It is the revolt of the oppressed against the dehumanization of oppression, a striving toward the creation of a new humanity.</w:t>
      </w:r>
      <w:r w:rsidRPr="00F53E0E">
        <w:rPr>
          <w:rStyle w:val="FootnoteReference"/>
        </w:rPr>
        <w:footnoteReference w:id="4"/>
      </w:r>
      <w:r w:rsidRPr="00F53E0E">
        <w:t xml:space="preserve">  “For apart from inquiry,” he said, “apart from the praxis, individuals cannot be truly human.”</w:t>
      </w:r>
      <w:r w:rsidRPr="00F53E0E">
        <w:rPr>
          <w:rStyle w:val="FootnoteReference"/>
        </w:rPr>
        <w:footnoteReference w:id="5"/>
      </w:r>
    </w:p>
    <w:p w:rsidR="00FB2D18" w:rsidRPr="00F53E0E" w:rsidRDefault="00FB2D18" w:rsidP="00FB2D18">
      <w:pPr>
        <w:spacing w:after="0" w:line="480" w:lineRule="auto"/>
        <w:ind w:firstLine="720"/>
      </w:pPr>
      <w:r w:rsidRPr="00F53E0E">
        <w:t xml:space="preserve">The oppressor and the oppressed, </w:t>
      </w:r>
      <w:proofErr w:type="spellStart"/>
      <w:r w:rsidRPr="00F53E0E">
        <w:t>Freire</w:t>
      </w:r>
      <w:proofErr w:type="spellEnd"/>
      <w:r w:rsidRPr="00F53E0E">
        <w:t xml:space="preserve"> argued, are locked in contradiction – a dehumanizing co-dependency that leeches the dignity and humanity of those languishing under the system and those profiting from it.</w:t>
      </w:r>
      <w:r w:rsidRPr="00F53E0E">
        <w:rPr>
          <w:rStyle w:val="FootnoteReference"/>
        </w:rPr>
        <w:footnoteReference w:id="6"/>
      </w:r>
      <w:r w:rsidRPr="00F53E0E">
        <w:t xml:space="preserve">  Oppressor and oppressed are alike bound in fear of freedom.</w:t>
      </w:r>
      <w:r w:rsidRPr="00F53E0E">
        <w:rPr>
          <w:rStyle w:val="FootnoteReference"/>
        </w:rPr>
        <w:footnoteReference w:id="7"/>
      </w:r>
      <w:r w:rsidRPr="00F53E0E">
        <w:t xml:space="preserve">  Without their destructive contradiction, they have no basis for understanding the world.  Any attempted liberation that emerges within this contradiction, </w:t>
      </w:r>
      <w:proofErr w:type="spellStart"/>
      <w:r w:rsidRPr="00F53E0E">
        <w:t>Freire</w:t>
      </w:r>
      <w:proofErr w:type="spellEnd"/>
      <w:r w:rsidRPr="00F53E0E">
        <w:t xml:space="preserve"> insisted, merely exacerbates it.  It will not be liberation at all, only a new form of oppression.</w:t>
      </w:r>
      <w:r w:rsidRPr="00F53E0E">
        <w:rPr>
          <w:rStyle w:val="FootnoteReference"/>
        </w:rPr>
        <w:footnoteReference w:id="8"/>
      </w:r>
      <w:r w:rsidRPr="00F53E0E">
        <w:t xml:space="preserve"> </w:t>
      </w:r>
    </w:p>
    <w:p w:rsidR="00FB2D18" w:rsidRPr="00F53E0E" w:rsidRDefault="00FB2D18" w:rsidP="00FB2D18">
      <w:pPr>
        <w:spacing w:after="0" w:line="480" w:lineRule="auto"/>
        <w:ind w:firstLine="720"/>
      </w:pPr>
      <w:r w:rsidRPr="00F53E0E">
        <w:t>“This...tragic dilemma of the oppressed”</w:t>
      </w:r>
      <w:r w:rsidRPr="00F53E0E">
        <w:rPr>
          <w:rStyle w:val="FootnoteReference"/>
        </w:rPr>
        <w:footnoteReference w:id="9"/>
      </w:r>
      <w:r w:rsidRPr="00F53E0E">
        <w:t xml:space="preserve"> will be defeated, </w:t>
      </w:r>
      <w:proofErr w:type="spellStart"/>
      <w:r w:rsidRPr="00F53E0E">
        <w:t>Freire</w:t>
      </w:r>
      <w:proofErr w:type="spellEnd"/>
      <w:r w:rsidRPr="00F53E0E">
        <w:t xml:space="preserve"> said, only when the oppressed recognize the “historical reality” of their dehumanization.</w:t>
      </w:r>
      <w:r w:rsidRPr="00F53E0E">
        <w:rPr>
          <w:rStyle w:val="FootnoteReference"/>
        </w:rPr>
        <w:footnoteReference w:id="10"/>
      </w:r>
      <w:r w:rsidRPr="00F53E0E">
        <w:t xml:space="preserve">  “To surmount the situation of oppression,” he wrote, “people must first critically recognize its causes, so that through transforming action they can create a new situation, one which makes possible the pursuit of a fuller humanity.”</w:t>
      </w:r>
      <w:r w:rsidRPr="00F53E0E">
        <w:rPr>
          <w:rStyle w:val="FootnoteReference"/>
        </w:rPr>
        <w:footnoteReference w:id="11"/>
      </w:r>
      <w:r w:rsidRPr="00F53E0E">
        <w:t xml:space="preserve">  </w:t>
      </w:r>
    </w:p>
    <w:p w:rsidR="00FB2D18" w:rsidRPr="00F53E0E" w:rsidRDefault="00FB2D18" w:rsidP="00FB2D18">
      <w:pPr>
        <w:spacing w:after="0" w:line="480" w:lineRule="auto"/>
        <w:ind w:firstLine="720"/>
      </w:pPr>
      <w:r w:rsidRPr="00F53E0E">
        <w:t>The contradiction of oppressor and oppressed must be entirely overcome, not merely modified.</w:t>
      </w:r>
      <w:r w:rsidRPr="00F53E0E">
        <w:rPr>
          <w:rStyle w:val="FootnoteReference"/>
        </w:rPr>
        <w:footnoteReference w:id="12"/>
      </w:r>
      <w:r w:rsidRPr="00F53E0E">
        <w:t xml:space="preserve">  The overturn of oppression will happen when the oppressed wake to their own consciousness, find the courage to throw aside the narratives their oppressors impose on them, and speak their own words.</w:t>
      </w:r>
      <w:r w:rsidRPr="00F53E0E">
        <w:rPr>
          <w:rStyle w:val="FootnoteReference"/>
        </w:rPr>
        <w:footnoteReference w:id="13"/>
      </w:r>
      <w:r w:rsidRPr="00F53E0E">
        <w:t xml:space="preserve">  The oppressed must objectivise their reality, recognize it, and subjectively act to change it.</w:t>
      </w:r>
      <w:r w:rsidRPr="00F53E0E">
        <w:rPr>
          <w:rStyle w:val="FootnoteReference"/>
        </w:rPr>
        <w:footnoteReference w:id="14"/>
      </w:r>
    </w:p>
    <w:p w:rsidR="00FB2D18" w:rsidRPr="00F53E0E" w:rsidRDefault="00FB2D18" w:rsidP="00FB2D18">
      <w:pPr>
        <w:spacing w:after="0" w:line="480" w:lineRule="auto"/>
        <w:ind w:firstLine="720"/>
      </w:pPr>
      <w:r w:rsidRPr="00F53E0E">
        <w:t xml:space="preserve">According to </w:t>
      </w:r>
      <w:proofErr w:type="spellStart"/>
      <w:r w:rsidRPr="00F53E0E">
        <w:t>Freire</w:t>
      </w:r>
      <w:proofErr w:type="spellEnd"/>
      <w:r w:rsidRPr="00F53E0E">
        <w:t xml:space="preserve">, the enlightenment model of education has become an instrument of oppression. “They feel that the ignorance of the people is so complete,” he wrote, “that they are unfit for anything except </w:t>
      </w:r>
      <w:r w:rsidRPr="00F53E0E">
        <w:lastRenderedPageBreak/>
        <w:t>to receive the teachings of the professionals.”</w:t>
      </w:r>
      <w:r w:rsidRPr="00F53E0E">
        <w:rPr>
          <w:rStyle w:val="FootnoteReference"/>
        </w:rPr>
        <w:footnoteReference w:id="15"/>
      </w:r>
      <w:r w:rsidRPr="00F53E0E">
        <w:t xml:space="preserve">   This violates the dignity of the individual, indoctrinating them with prefabricated narrative rather than birthing them to critically interact with their world.  “Education thus becomes an act of depositing in which the students are the depositories and the teacher is the depositor.”</w:t>
      </w:r>
      <w:r w:rsidRPr="00F53E0E">
        <w:rPr>
          <w:rStyle w:val="FootnoteReference"/>
        </w:rPr>
        <w:footnoteReference w:id="16"/>
      </w:r>
    </w:p>
    <w:p w:rsidR="00FB2D18" w:rsidRPr="00F53E0E" w:rsidRDefault="00FB2D18" w:rsidP="00FB2D18">
      <w:pPr>
        <w:spacing w:after="0" w:line="480" w:lineRule="auto"/>
        <w:ind w:firstLine="720"/>
      </w:pPr>
      <w:proofErr w:type="spellStart"/>
      <w:r w:rsidRPr="00F53E0E">
        <w:t>Freire</w:t>
      </w:r>
      <w:proofErr w:type="spellEnd"/>
      <w:r w:rsidRPr="00F53E0E">
        <w:t xml:space="preserve"> calls this “banking” education.</w:t>
      </w:r>
      <w:r w:rsidRPr="00F53E0E">
        <w:rPr>
          <w:rStyle w:val="FootnoteReference"/>
        </w:rPr>
        <w:footnoteReference w:id="17"/>
      </w:r>
      <w:r w:rsidRPr="00F53E0E">
        <w:t xml:space="preserve">  The teacher has a set narrative, which she “deposits” into the students.  A good student is like a good bank; he will give back exactly what he has been given.  At most, students have “the opportunity to become collectors or cataloguers of the things they store”, but are at best “slaves” to the educator.  It is a storied method, with the teacher above and the student below.</w:t>
      </w:r>
      <w:r w:rsidRPr="00F53E0E">
        <w:rPr>
          <w:rStyle w:val="FootnoteReference"/>
        </w:rPr>
        <w:footnoteReference w:id="18"/>
      </w:r>
      <w:r w:rsidRPr="00F53E0E">
        <w:t xml:space="preserve">  </w:t>
      </w:r>
    </w:p>
    <w:p w:rsidR="00FB2D18" w:rsidRPr="00F53E0E" w:rsidRDefault="00FB2D18" w:rsidP="00FB2D18">
      <w:pPr>
        <w:spacing w:after="0" w:line="480" w:lineRule="auto"/>
        <w:ind w:firstLine="720"/>
      </w:pPr>
      <w:r w:rsidRPr="00F53E0E">
        <w:t>This “</w:t>
      </w:r>
      <w:proofErr w:type="spellStart"/>
      <w:r w:rsidRPr="00F53E0E">
        <w:t>antidialogical</w:t>
      </w:r>
      <w:proofErr w:type="spellEnd"/>
      <w:r w:rsidRPr="00F53E0E">
        <w:t>” approach becomes oppression, an attempt to “mythicize the world.”</w:t>
      </w:r>
      <w:r w:rsidRPr="00F53E0E">
        <w:rPr>
          <w:rStyle w:val="FootnoteReference"/>
        </w:rPr>
        <w:footnoteReference w:id="19"/>
      </w:r>
      <w:r w:rsidRPr="00F53E0E">
        <w:t xml:space="preserve">  It crushes creativity and increases credulity, </w:t>
      </w:r>
      <w:proofErr w:type="spellStart"/>
      <w:r w:rsidRPr="00F53E0E">
        <w:t>Freire</w:t>
      </w:r>
      <w:proofErr w:type="spellEnd"/>
      <w:r w:rsidRPr="00F53E0E">
        <w:t xml:space="preserve"> said, and transforms the students into hangers-on of the teacher’s learning, not critical inquirers.</w:t>
      </w:r>
      <w:r w:rsidRPr="00F53E0E">
        <w:rPr>
          <w:rStyle w:val="FootnoteReference"/>
        </w:rPr>
        <w:footnoteReference w:id="20"/>
      </w:r>
      <w:r w:rsidRPr="00F53E0E">
        <w:t xml:space="preserve">  Hodgson explained that “while the students are permitted to see the product of [the teacher’s] thinking...there is no sharing in the thinking process.”</w:t>
      </w:r>
      <w:r w:rsidRPr="00F53E0E">
        <w:rPr>
          <w:rStyle w:val="FootnoteReference"/>
        </w:rPr>
        <w:footnoteReference w:id="21"/>
      </w:r>
    </w:p>
    <w:p w:rsidR="00FB2D18" w:rsidRPr="00F53E0E" w:rsidRDefault="00FB2D18" w:rsidP="00FB2D18">
      <w:pPr>
        <w:spacing w:after="0" w:line="480" w:lineRule="auto"/>
        <w:ind w:firstLine="720"/>
      </w:pPr>
      <w:proofErr w:type="spellStart"/>
      <w:r w:rsidRPr="00F53E0E">
        <w:t>Freire</w:t>
      </w:r>
      <w:proofErr w:type="spellEnd"/>
      <w:r w:rsidRPr="00F53E0E">
        <w:t xml:space="preserve"> insisted that, by contrast, education should be “the practice of freedom”</w:t>
      </w:r>
      <w:r w:rsidRPr="00F53E0E">
        <w:rPr>
          <w:rStyle w:val="FootnoteReference"/>
        </w:rPr>
        <w:footnoteReference w:id="22"/>
      </w:r>
      <w:r w:rsidRPr="00F53E0E">
        <w:t>.  He proposed a “problem-posing” model that engages the students, drawing them into asking “Why?”</w:t>
      </w:r>
      <w:r w:rsidRPr="00F53E0E">
        <w:rPr>
          <w:rStyle w:val="FootnoteReference"/>
        </w:rPr>
        <w:footnoteReference w:id="23"/>
      </w:r>
      <w:r w:rsidRPr="00F53E0E">
        <w:t xml:space="preserve">  From the context of a relational dialogue with the students, the teacher joins with the students in critical interaction with the realities around them; in this way it is not storied, but unilateral – a united process of growth and exploration.  </w:t>
      </w:r>
    </w:p>
    <w:p w:rsidR="00FB2D18" w:rsidRPr="00F53E0E" w:rsidRDefault="00FB2D18" w:rsidP="00FB2D18">
      <w:pPr>
        <w:spacing w:after="0" w:line="480" w:lineRule="auto"/>
        <w:ind w:firstLine="720"/>
      </w:pPr>
      <w:r w:rsidRPr="00F53E0E">
        <w:t>“Here, no one teaches another, nor is anyone self-taught,” he said.  “People teach each other, mediated by the world, by the cognizable objects which in banking education are ‘owned’ by the teacher.”</w:t>
      </w:r>
      <w:r w:rsidRPr="00F53E0E">
        <w:rPr>
          <w:rStyle w:val="FootnoteReference"/>
        </w:rPr>
        <w:footnoteReference w:id="24"/>
      </w:r>
    </w:p>
    <w:p w:rsidR="00FB2D18" w:rsidRPr="00F53E0E" w:rsidRDefault="00FB2D18" w:rsidP="00FB2D18">
      <w:pPr>
        <w:spacing w:after="0" w:line="480" w:lineRule="auto"/>
        <w:ind w:firstLine="720"/>
      </w:pPr>
      <w:r w:rsidRPr="00F53E0E">
        <w:t xml:space="preserve">Problem-posing education allows individuals to critically reflect on the world while recognizing their part in it, </w:t>
      </w:r>
      <w:proofErr w:type="spellStart"/>
      <w:r w:rsidRPr="00F53E0E">
        <w:t>Freire</w:t>
      </w:r>
      <w:proofErr w:type="spellEnd"/>
      <w:r w:rsidRPr="00F53E0E">
        <w:t xml:space="preserve"> said.  The world can and should be objectively changed, he argued, but the change must begin in people’s subjective understanding of themselves and of one another.</w:t>
      </w:r>
      <w:r w:rsidRPr="00F53E0E">
        <w:rPr>
          <w:rStyle w:val="FootnoteReference"/>
        </w:rPr>
        <w:footnoteReference w:id="25"/>
      </w:r>
      <w:r w:rsidRPr="00F53E0E">
        <w:t xml:space="preserve">  By “taking the people’s historicity </w:t>
      </w:r>
      <w:r w:rsidRPr="00F53E0E">
        <w:lastRenderedPageBreak/>
        <w:t>as their starting point”</w:t>
      </w:r>
      <w:r w:rsidRPr="00F53E0E">
        <w:rPr>
          <w:rStyle w:val="FootnoteReference"/>
        </w:rPr>
        <w:footnoteReference w:id="26"/>
      </w:r>
      <w:r w:rsidRPr="00F53E0E">
        <w:t>, it strips away the false narratives imposed through oppressive banking education, and enables people to realise the historical potential of transformation.</w:t>
      </w:r>
      <w:r w:rsidRPr="00F53E0E">
        <w:rPr>
          <w:rStyle w:val="FootnoteReference"/>
        </w:rPr>
        <w:footnoteReference w:id="27"/>
      </w:r>
      <w:r w:rsidRPr="00F53E0E">
        <w:t xml:space="preserve">  </w:t>
      </w:r>
    </w:p>
    <w:p w:rsidR="00FB2D18" w:rsidRPr="00F53E0E" w:rsidRDefault="00FB2D18" w:rsidP="00FB2D18">
      <w:pPr>
        <w:spacing w:after="0" w:line="480" w:lineRule="auto"/>
        <w:ind w:firstLine="720"/>
      </w:pPr>
      <w:r w:rsidRPr="00F53E0E">
        <w:t>In problem-posing education, the teacher enters into dialogue with her students, and through a process of mutual teaching and learning, allows them to find their own voice.  The dialogical teacher affirms the need for “the world [to] be unveiled”, while realizing that no one “can...unveil the world for another.”</w:t>
      </w:r>
      <w:r w:rsidRPr="00F53E0E">
        <w:rPr>
          <w:rStyle w:val="FootnoteReference"/>
        </w:rPr>
        <w:footnoteReference w:id="28"/>
      </w:r>
      <w:r w:rsidRPr="00F53E0E">
        <w:t xml:space="preserve">  As she presents their own historical situations and questions as problems to be solved, she engages them in the act of “naming the world”; they create for themselves the new humanity.</w:t>
      </w:r>
      <w:r w:rsidRPr="00F53E0E">
        <w:rPr>
          <w:rStyle w:val="FootnoteReference"/>
        </w:rPr>
        <w:footnoteReference w:id="29"/>
      </w:r>
      <w:r w:rsidRPr="00F53E0E">
        <w:t xml:space="preserve">  </w:t>
      </w:r>
    </w:p>
    <w:p w:rsidR="00FB2D18" w:rsidRPr="00F53E0E" w:rsidRDefault="00FB2D18" w:rsidP="00FB2D18">
      <w:pPr>
        <w:spacing w:after="0" w:line="480" w:lineRule="auto"/>
        <w:ind w:firstLine="720"/>
      </w:pPr>
      <w:proofErr w:type="spellStart"/>
      <w:r w:rsidRPr="00F53E0E">
        <w:t>Freire’s</w:t>
      </w:r>
      <w:proofErr w:type="spellEnd"/>
      <w:r w:rsidRPr="00F53E0E">
        <w:t xml:space="preserve"> problem-posing model is a phenomenon of the word.  The word embodies “reflection and action.”  </w:t>
      </w:r>
      <w:proofErr w:type="spellStart"/>
      <w:r w:rsidRPr="00F53E0E">
        <w:t>Freire</w:t>
      </w:r>
      <w:proofErr w:type="spellEnd"/>
      <w:r w:rsidRPr="00F53E0E">
        <w:t xml:space="preserve"> explained, “There is no true word that is not at the same time </w:t>
      </w:r>
      <w:proofErr w:type="gramStart"/>
      <w:r w:rsidRPr="00F53E0E">
        <w:t>a praxis</w:t>
      </w:r>
      <w:proofErr w:type="gramEnd"/>
      <w:r w:rsidRPr="00F53E0E">
        <w:t>.  Thus, to speak a true word is to transform the world.”</w:t>
      </w:r>
      <w:r w:rsidRPr="00F53E0E">
        <w:rPr>
          <w:rStyle w:val="FootnoteReference"/>
        </w:rPr>
        <w:footnoteReference w:id="30"/>
      </w:r>
      <w:r w:rsidRPr="00F53E0E">
        <w:t xml:space="preserve">  It is not, as Brookfield explained, “</w:t>
      </w:r>
      <w:proofErr w:type="gramStart"/>
      <w:r w:rsidRPr="00F53E0E">
        <w:t>a</w:t>
      </w:r>
      <w:proofErr w:type="gramEnd"/>
      <w:r w:rsidRPr="00F53E0E">
        <w:t xml:space="preserve"> </w:t>
      </w:r>
      <w:proofErr w:type="spellStart"/>
      <w:r w:rsidRPr="00F53E0E">
        <w:t>lassiez</w:t>
      </w:r>
      <w:proofErr w:type="spellEnd"/>
      <w:r w:rsidRPr="00F53E0E">
        <w:t>-faire atmosphere of intellectual relativism”, but “an effort to create conditions under which all voices can speak and be heard.”</w:t>
      </w:r>
      <w:r w:rsidRPr="00F53E0E">
        <w:rPr>
          <w:rStyle w:val="FootnoteReference"/>
        </w:rPr>
        <w:footnoteReference w:id="31"/>
      </w:r>
      <w:r w:rsidRPr="00F53E0E">
        <w:t xml:space="preserve">  It is a creative act that unifies the dialoguers into solidarity with a new humanity; “it is conquest of the world for the liberation of humankind.”</w:t>
      </w:r>
      <w:r w:rsidRPr="00F53E0E">
        <w:rPr>
          <w:rStyle w:val="FootnoteReference"/>
        </w:rPr>
        <w:footnoteReference w:id="32"/>
      </w:r>
      <w:r w:rsidRPr="00F53E0E">
        <w:t xml:space="preserve">  </w:t>
      </w:r>
    </w:p>
    <w:p w:rsidR="00FB2D18" w:rsidRPr="00F53E0E" w:rsidRDefault="00FB2D18" w:rsidP="00FB2D18">
      <w:pPr>
        <w:spacing w:after="0" w:line="480" w:lineRule="auto"/>
        <w:ind w:firstLine="720"/>
      </w:pPr>
      <w:r w:rsidRPr="00F53E0E">
        <w:t xml:space="preserve">Even when the first words spoken in dialogue arise from ignorance and indoctrination, </w:t>
      </w:r>
      <w:proofErr w:type="spellStart"/>
      <w:r w:rsidRPr="00F53E0E">
        <w:t>Freire</w:t>
      </w:r>
      <w:proofErr w:type="spellEnd"/>
      <w:r w:rsidRPr="00F53E0E">
        <w:t xml:space="preserve"> said, it is only through dialogue and the critical re-evaluation of those same misguided words that people can learn to surmount them.  “I cannot think </w:t>
      </w:r>
      <w:r w:rsidRPr="00F53E0E">
        <w:rPr>
          <w:i/>
        </w:rPr>
        <w:t>for others</w:t>
      </w:r>
      <w:r w:rsidRPr="00F53E0E">
        <w:t xml:space="preserve"> or </w:t>
      </w:r>
      <w:r w:rsidRPr="00F53E0E">
        <w:rPr>
          <w:i/>
        </w:rPr>
        <w:t>without others</w:t>
      </w:r>
      <w:r w:rsidRPr="00F53E0E">
        <w:t xml:space="preserve">, nor can others think </w:t>
      </w:r>
      <w:r w:rsidRPr="00F53E0E">
        <w:rPr>
          <w:i/>
        </w:rPr>
        <w:t>for me</w:t>
      </w:r>
      <w:r w:rsidRPr="00F53E0E">
        <w:t>.”</w:t>
      </w:r>
      <w:r w:rsidRPr="00F53E0E">
        <w:rPr>
          <w:rStyle w:val="FootnoteReference"/>
        </w:rPr>
        <w:footnoteReference w:id="33"/>
      </w:r>
    </w:p>
    <w:p w:rsidR="00FB2D18" w:rsidRPr="00F53E0E" w:rsidRDefault="00FB2D18" w:rsidP="00FB2D18">
      <w:pPr>
        <w:spacing w:after="0" w:line="480" w:lineRule="auto"/>
        <w:ind w:firstLine="720"/>
      </w:pPr>
      <w:r w:rsidRPr="00F53E0E">
        <w:t xml:space="preserve">However, </w:t>
      </w:r>
      <w:proofErr w:type="spellStart"/>
      <w:r w:rsidRPr="00F53E0E">
        <w:t>Freire</w:t>
      </w:r>
      <w:proofErr w:type="spellEnd"/>
      <w:r w:rsidRPr="00F53E0E">
        <w:t xml:space="preserve"> said, this method means nothing if not imbued with love – not the rapacious </w:t>
      </w:r>
      <w:proofErr w:type="spellStart"/>
      <w:r w:rsidRPr="00F53E0E">
        <w:rPr>
          <w:i/>
        </w:rPr>
        <w:t>eros</w:t>
      </w:r>
      <w:proofErr w:type="spellEnd"/>
      <w:r w:rsidRPr="00F53E0E">
        <w:t xml:space="preserve"> of oppression, but “an act of courage</w:t>
      </w:r>
      <w:proofErr w:type="gramStart"/>
      <w:r w:rsidRPr="00F53E0E">
        <w:t>...[</w:t>
      </w:r>
      <w:proofErr w:type="gramEnd"/>
      <w:r w:rsidRPr="00F53E0E">
        <w:t>and a] commitment to others.”</w:t>
      </w:r>
      <w:r w:rsidRPr="00F53E0E">
        <w:rPr>
          <w:rStyle w:val="FootnoteReference"/>
        </w:rPr>
        <w:footnoteReference w:id="34"/>
      </w:r>
      <w:r w:rsidRPr="00F53E0E">
        <w:t xml:space="preserve">  Without love, true dialogue cannot exist.  “If I do not love the world—if I do not love life—if I do not love people—I cannot enter into dialogue.”</w:t>
      </w:r>
      <w:r w:rsidRPr="00F53E0E">
        <w:rPr>
          <w:rStyle w:val="FootnoteReference"/>
        </w:rPr>
        <w:footnoteReference w:id="35"/>
      </w:r>
      <w:r w:rsidRPr="00F53E0E">
        <w:t xml:space="preserve">  Loveless dialogue becomes instead a subtle work of manipulation.</w:t>
      </w:r>
      <w:r w:rsidRPr="00F53E0E">
        <w:rPr>
          <w:rStyle w:val="FootnoteReference"/>
        </w:rPr>
        <w:footnoteReference w:id="36"/>
      </w:r>
    </w:p>
    <w:p w:rsidR="00FB2D18" w:rsidRPr="00F53E0E" w:rsidRDefault="00FB2D18" w:rsidP="00FB2D18">
      <w:pPr>
        <w:spacing w:after="0" w:line="480" w:lineRule="auto"/>
        <w:ind w:firstLine="720"/>
      </w:pPr>
      <w:r w:rsidRPr="00F53E0E">
        <w:t xml:space="preserve">Not only love, but also humility needs to mark dialogue.  Arrogance, said </w:t>
      </w:r>
      <w:proofErr w:type="spellStart"/>
      <w:r w:rsidRPr="00F53E0E">
        <w:t>Freire</w:t>
      </w:r>
      <w:proofErr w:type="spellEnd"/>
      <w:r w:rsidRPr="00F53E0E">
        <w:t xml:space="preserve">, fractures dialogue; humility allows individuals to receive from one another.  Faith in others prerequisites dialogue; mutual trust </w:t>
      </w:r>
      <w:r w:rsidRPr="00F53E0E">
        <w:lastRenderedPageBreak/>
        <w:t>arises from it.</w:t>
      </w:r>
      <w:r w:rsidRPr="00F53E0E">
        <w:rPr>
          <w:rStyle w:val="FootnoteReference"/>
        </w:rPr>
        <w:footnoteReference w:id="37"/>
      </w:r>
      <w:r w:rsidRPr="00F53E0E">
        <w:t xml:space="preserve">  When all these things are present, </w:t>
      </w:r>
      <w:proofErr w:type="spellStart"/>
      <w:r w:rsidRPr="00F53E0E">
        <w:t>Freire</w:t>
      </w:r>
      <w:proofErr w:type="spellEnd"/>
      <w:r w:rsidRPr="00F53E0E">
        <w:t xml:space="preserve"> said, dialogue becomes </w:t>
      </w:r>
      <w:proofErr w:type="gramStart"/>
      <w:r w:rsidRPr="00F53E0E">
        <w:t>a praxis</w:t>
      </w:r>
      <w:proofErr w:type="gramEnd"/>
      <w:r w:rsidRPr="00F53E0E">
        <w:t xml:space="preserve"> of hope, nurturing critical thinking “which discerns an indivisible solidarity between the world and the people”, reaching forward to “the continuing transformation of reality, in behalf of the continuing humanization of men.”</w:t>
      </w:r>
      <w:r w:rsidRPr="00F53E0E">
        <w:rPr>
          <w:rStyle w:val="FootnoteReference"/>
        </w:rPr>
        <w:footnoteReference w:id="38"/>
      </w:r>
    </w:p>
    <w:p w:rsidR="00FB2D18" w:rsidRPr="00F53E0E" w:rsidRDefault="00FB2D18" w:rsidP="00FB2D18">
      <w:pPr>
        <w:spacing w:after="0" w:line="480" w:lineRule="auto"/>
        <w:ind w:firstLine="720"/>
        <w:rPr>
          <w:b/>
        </w:rPr>
      </w:pPr>
    </w:p>
    <w:p w:rsidR="00FB2D18" w:rsidRPr="00F53E0E" w:rsidRDefault="00FB2D18" w:rsidP="00FB2D18">
      <w:pPr>
        <w:spacing w:after="0" w:line="480" w:lineRule="auto"/>
        <w:rPr>
          <w:b/>
        </w:rPr>
      </w:pPr>
      <w:r w:rsidRPr="00F53E0E">
        <w:rPr>
          <w:b/>
        </w:rPr>
        <w:t>Palmer: Personal Truth</w:t>
      </w:r>
    </w:p>
    <w:p w:rsidR="00FB2D18" w:rsidRPr="00F53E0E" w:rsidRDefault="00FB2D18" w:rsidP="00FB2D18">
      <w:pPr>
        <w:spacing w:after="0" w:line="480" w:lineRule="auto"/>
        <w:ind w:firstLine="720"/>
      </w:pPr>
      <w:r w:rsidRPr="00F53E0E">
        <w:t>In the academy’s prevailing epistemology, spirituality deals with the emotional and the ephemeral, while education should deal strictly with fact and knowledge.  So Parker J. Palmer wryly remarked, “Any attempt to develop ‘a spirituality of education’ is full of peril.”</w:t>
      </w:r>
      <w:r w:rsidRPr="00F53E0E">
        <w:rPr>
          <w:rStyle w:val="FootnoteReference"/>
        </w:rPr>
        <w:footnoteReference w:id="39"/>
      </w:r>
      <w:r w:rsidRPr="00F53E0E">
        <w:t xml:space="preserve">  From the enlightenment standpoint, the term is ridiculous.  “But,” he said, “I have come to see that knowledge contains its own morality, that it begins not in </w:t>
      </w:r>
      <w:proofErr w:type="gramStart"/>
      <w:r w:rsidRPr="00F53E0E">
        <w:t>a neutrality</w:t>
      </w:r>
      <w:proofErr w:type="gramEnd"/>
      <w:r w:rsidRPr="00F53E0E">
        <w:t xml:space="preserve"> but in a place of passion within the human soul.”</w:t>
      </w:r>
      <w:r w:rsidRPr="00F53E0E">
        <w:rPr>
          <w:rStyle w:val="FootnoteReference"/>
        </w:rPr>
        <w:footnoteReference w:id="40"/>
      </w:r>
      <w:r w:rsidRPr="00F53E0E">
        <w:t xml:space="preserve">  His book </w:t>
      </w:r>
      <w:r w:rsidRPr="00F53E0E">
        <w:rPr>
          <w:i/>
        </w:rPr>
        <w:t xml:space="preserve">To Know as </w:t>
      </w:r>
      <w:proofErr w:type="gramStart"/>
      <w:r w:rsidRPr="00F53E0E">
        <w:rPr>
          <w:i/>
        </w:rPr>
        <w:t>We</w:t>
      </w:r>
      <w:proofErr w:type="gramEnd"/>
      <w:r w:rsidRPr="00F53E0E">
        <w:rPr>
          <w:i/>
        </w:rPr>
        <w:t xml:space="preserve"> are Known</w:t>
      </w:r>
      <w:r w:rsidRPr="00F53E0E">
        <w:t xml:space="preserve"> attempts to revision education through the lens of the Christian spiritual tradition.</w:t>
      </w:r>
      <w:r w:rsidRPr="00F53E0E">
        <w:rPr>
          <w:rStyle w:val="FootnoteReference"/>
        </w:rPr>
        <w:footnoteReference w:id="41"/>
      </w:r>
    </w:p>
    <w:p w:rsidR="00FB2D18" w:rsidRPr="00F53E0E" w:rsidRDefault="00FB2D18" w:rsidP="00FB2D18">
      <w:pPr>
        <w:spacing w:after="0" w:line="480" w:lineRule="auto"/>
        <w:ind w:firstLine="720"/>
      </w:pPr>
      <w:r w:rsidRPr="00F53E0E">
        <w:t>The centre of Christian spirituality is the Man from Nazareth, the divine eruption into human life.  “To those who wished to know truth,” Palmer said, “Jesus did not offer propositions to be tested by logic or data to be tested in the laboratory.  He offered himself and his life.”</w:t>
      </w:r>
      <w:r w:rsidRPr="00F53E0E">
        <w:rPr>
          <w:rStyle w:val="FootnoteReference"/>
        </w:rPr>
        <w:footnoteReference w:id="42"/>
      </w:r>
      <w:r w:rsidRPr="00F53E0E">
        <w:t xml:space="preserve">  </w:t>
      </w:r>
    </w:p>
    <w:p w:rsidR="00FB2D18" w:rsidRPr="00F53E0E" w:rsidRDefault="00FB2D18" w:rsidP="00FB2D18">
      <w:pPr>
        <w:spacing w:after="0" w:line="480" w:lineRule="auto"/>
        <w:ind w:firstLine="720"/>
      </w:pPr>
      <w:r w:rsidRPr="00F53E0E">
        <w:t>Jesus reveals truth not as compartmentalized intellectualism, but as a universal relationship of persons.</w:t>
      </w:r>
      <w:r w:rsidRPr="00F53E0E">
        <w:rPr>
          <w:rStyle w:val="FootnoteReference"/>
        </w:rPr>
        <w:footnoteReference w:id="43"/>
      </w:r>
      <w:r w:rsidRPr="00F53E0E">
        <w:t xml:space="preserve">  Truth is personal, Palmer argued.  Truth has “an active quality of a person”, drawing its seekers “into a community of mutual knowledge, accountability, and care.”</w:t>
      </w:r>
      <w:r w:rsidRPr="00F53E0E">
        <w:rPr>
          <w:rStyle w:val="FootnoteReference"/>
        </w:rPr>
        <w:footnoteReference w:id="44"/>
      </w:r>
      <w:r w:rsidRPr="00F53E0E">
        <w:t xml:space="preserve">  The “knower” cannot be an aloof, outside critic, but must enter into an interdependent community with the “known”.</w:t>
      </w:r>
      <w:r w:rsidRPr="00F53E0E">
        <w:rPr>
          <w:rStyle w:val="FootnoteReference"/>
        </w:rPr>
        <w:footnoteReference w:id="45"/>
      </w:r>
      <w:r w:rsidRPr="00F53E0E">
        <w:t xml:space="preserve"> </w:t>
      </w:r>
    </w:p>
    <w:p w:rsidR="00FB2D18" w:rsidRPr="00F53E0E" w:rsidRDefault="00FB2D18" w:rsidP="00FB2D18">
      <w:pPr>
        <w:spacing w:after="0" w:line="480" w:lineRule="auto"/>
        <w:ind w:firstLine="720"/>
      </w:pPr>
      <w:r w:rsidRPr="00F53E0E">
        <w:t>“Knowing” is not simple knowledge of facts.  “Instead, we feel inwardly related to [the known]; knowing it means that we have somehow entered into its life, and it into ours.”</w:t>
      </w:r>
      <w:r w:rsidRPr="00F53E0E">
        <w:rPr>
          <w:rStyle w:val="FootnoteReference"/>
        </w:rPr>
        <w:footnoteReference w:id="46"/>
      </w:r>
      <w:r w:rsidRPr="00F53E0E">
        <w:t xml:space="preserve">  It is not enough simply to </w:t>
      </w:r>
      <w:r w:rsidRPr="00F53E0E">
        <w:lastRenderedPageBreak/>
        <w:t>know; one must also be known.  As the known reveals knowledge of the knower: “we have been ‘discovered and plumbed’ by the subject of the research itself...”</w:t>
      </w:r>
      <w:r w:rsidRPr="00F53E0E">
        <w:rPr>
          <w:rStyle w:val="FootnoteReference"/>
        </w:rPr>
        <w:footnoteReference w:id="47"/>
      </w:r>
      <w:r w:rsidRPr="00F53E0E">
        <w:t xml:space="preserve"> </w:t>
      </w:r>
    </w:p>
    <w:p w:rsidR="00FB2D18" w:rsidRPr="00F53E0E" w:rsidRDefault="00FB2D18" w:rsidP="00FB2D18">
      <w:pPr>
        <w:spacing w:after="0" w:line="480" w:lineRule="auto"/>
        <w:ind w:firstLine="720"/>
      </w:pPr>
      <w:r w:rsidRPr="00F53E0E">
        <w:t xml:space="preserve"> “By this understanding,” said Palmer, “I not only pursue truth but truth pursues me.  I not only grasp truth, but truth grasps me.  I not only know truth but truth knows me.  Ultimately, I do not master truth but truth masters me.”</w:t>
      </w:r>
      <w:r w:rsidRPr="00F53E0E">
        <w:rPr>
          <w:rStyle w:val="FootnoteReference"/>
        </w:rPr>
        <w:footnoteReference w:id="48"/>
      </w:r>
    </w:p>
    <w:p w:rsidR="00FB2D18" w:rsidRPr="00F53E0E" w:rsidRDefault="00FB2D18" w:rsidP="00FB2D18">
      <w:pPr>
        <w:spacing w:after="0" w:line="480" w:lineRule="auto"/>
        <w:ind w:firstLine="720"/>
      </w:pPr>
      <w:r w:rsidRPr="00F53E0E">
        <w:t>According to Palmer, truth is “troth”, viz., “a pledge to engage in a mutually accountable and transforming relationship...forged of trust and faith in the face of unknowable risks.”</w:t>
      </w:r>
      <w:r w:rsidRPr="00F53E0E">
        <w:rPr>
          <w:rStyle w:val="FootnoteReference"/>
        </w:rPr>
        <w:footnoteReference w:id="49"/>
      </w:r>
      <w:r w:rsidRPr="00F53E0E">
        <w:t xml:space="preserve">  The act of knowing is a pledge of troth.  Not only does knowing commit to a search for truth, </w:t>
      </w:r>
      <w:proofErr w:type="gramStart"/>
      <w:r w:rsidRPr="00F53E0E">
        <w:t>it opens</w:t>
      </w:r>
      <w:proofErr w:type="gramEnd"/>
      <w:r w:rsidRPr="00F53E0E">
        <w:t xml:space="preserve"> the knower to be known.  Knowing is an act of love.</w:t>
      </w:r>
      <w:r w:rsidRPr="00F53E0E">
        <w:rPr>
          <w:rStyle w:val="FootnoteReference"/>
        </w:rPr>
        <w:footnoteReference w:id="50"/>
      </w:r>
    </w:p>
    <w:p w:rsidR="00FB2D18" w:rsidRPr="00F53E0E" w:rsidRDefault="00FB2D18" w:rsidP="00FB2D18">
      <w:pPr>
        <w:spacing w:after="0" w:line="480" w:lineRule="auto"/>
        <w:ind w:firstLine="720"/>
      </w:pPr>
      <w:r w:rsidRPr="00F53E0E">
        <w:t>The seeker for truth recognizes herself as a “co-participant in the community of truth.”  Truth as troth “</w:t>
      </w:r>
      <w:proofErr w:type="gramStart"/>
      <w:r w:rsidRPr="00F53E0E">
        <w:t>is  us</w:t>
      </w:r>
      <w:proofErr w:type="gramEnd"/>
      <w:r w:rsidRPr="00F53E0E">
        <w:t xml:space="preserve">”, in dialogical relationship “of knowers and </w:t>
      </w:r>
      <w:proofErr w:type="spellStart"/>
      <w:r w:rsidRPr="00F53E0E">
        <w:t>knowns</w:t>
      </w:r>
      <w:proofErr w:type="spellEnd"/>
      <w:r w:rsidRPr="00F53E0E">
        <w:t xml:space="preserve"> who are understood as independent but accountable selves.”</w:t>
      </w:r>
      <w:r w:rsidRPr="00F53E0E">
        <w:rPr>
          <w:rStyle w:val="FootnoteReference"/>
        </w:rPr>
        <w:footnoteReference w:id="51"/>
      </w:r>
      <w:r w:rsidRPr="00F53E0E">
        <w:t xml:space="preserve">  Without community, personhood and knowledge cannot exist.</w:t>
      </w:r>
      <w:r w:rsidRPr="00F53E0E">
        <w:rPr>
          <w:rStyle w:val="FootnoteReference"/>
        </w:rPr>
        <w:footnoteReference w:id="52"/>
      </w:r>
      <w:r w:rsidRPr="00F53E0E">
        <w:t xml:space="preserve">  </w:t>
      </w:r>
    </w:p>
    <w:p w:rsidR="00FB2D18" w:rsidRPr="00F53E0E" w:rsidRDefault="00FB2D18" w:rsidP="00FB2D18">
      <w:pPr>
        <w:spacing w:after="0" w:line="480" w:lineRule="auto"/>
        <w:ind w:firstLine="720"/>
      </w:pPr>
      <w:r w:rsidRPr="00F53E0E">
        <w:t>Palmer saw the enlightenment model of education as intrinsically linked to an opposing, destructive epistemology: objectivism.</w:t>
      </w:r>
      <w:r w:rsidRPr="00F53E0E">
        <w:rPr>
          <w:rStyle w:val="FootnoteReference"/>
        </w:rPr>
        <w:footnoteReference w:id="53"/>
      </w:r>
      <w:r w:rsidRPr="00F53E0E">
        <w:t xml:space="preserve">  Objectivism, he said, presupposes radical dichotomy between knower and known.  The world is an object to be examined, manipulated, and controlled.  “Truth, by this view, consists of propositions or reports that conform to the canons of evidence and reason, reports that can be reproduced by other knowers operating by the same rules.”</w:t>
      </w:r>
      <w:r w:rsidRPr="00F53E0E">
        <w:rPr>
          <w:rStyle w:val="FootnoteReference"/>
        </w:rPr>
        <w:footnoteReference w:id="54"/>
      </w:r>
      <w:r w:rsidRPr="00F53E0E">
        <w:t xml:space="preserve">  This detachment nurtures a reckless lust for knowledge that corrupts and victimizes both known and knower.</w:t>
      </w:r>
      <w:r w:rsidRPr="00F53E0E">
        <w:rPr>
          <w:rStyle w:val="FootnoteReference"/>
        </w:rPr>
        <w:footnoteReference w:id="55"/>
      </w:r>
    </w:p>
    <w:p w:rsidR="00FB2D18" w:rsidRPr="00F53E0E" w:rsidRDefault="00FB2D18" w:rsidP="00FB2D18">
      <w:pPr>
        <w:spacing w:after="0" w:line="480" w:lineRule="auto"/>
        <w:ind w:firstLine="720"/>
      </w:pPr>
      <w:r w:rsidRPr="00F53E0E">
        <w:t>Although most thinkers acknowledge pure objectivism as a fallacy, Palmer argued, “</w:t>
      </w:r>
      <w:proofErr w:type="gramStart"/>
      <w:r w:rsidRPr="00F53E0E">
        <w:t>objectivism</w:t>
      </w:r>
      <w:proofErr w:type="gramEnd"/>
      <w:r w:rsidRPr="00F53E0E">
        <w:t xml:space="preserve"> is institutionalized in our educational practices, in the ways we teach and learn.”</w:t>
      </w:r>
      <w:r w:rsidRPr="00F53E0E">
        <w:rPr>
          <w:rStyle w:val="FootnoteReference"/>
        </w:rPr>
        <w:footnoteReference w:id="56"/>
      </w:r>
      <w:r w:rsidRPr="00F53E0E">
        <w:t xml:space="preserve">  The ethic and epistemology </w:t>
      </w:r>
      <w:r w:rsidRPr="00F53E0E">
        <w:lastRenderedPageBreak/>
        <w:t>of objectivism imbed themselves in students through the “hidden curriculum” of the “conventional classroom”.</w:t>
      </w:r>
      <w:r w:rsidRPr="00F53E0E">
        <w:rPr>
          <w:rStyle w:val="FootnoteReference"/>
        </w:rPr>
        <w:footnoteReference w:id="57"/>
      </w:r>
      <w:r w:rsidRPr="00F53E0E">
        <w:t xml:space="preserve">  </w:t>
      </w:r>
    </w:p>
    <w:p w:rsidR="00FB2D18" w:rsidRPr="00F53E0E" w:rsidRDefault="00FB2D18" w:rsidP="00FB2D18">
      <w:pPr>
        <w:spacing w:after="0" w:line="480" w:lineRule="auto"/>
        <w:ind w:firstLine="720"/>
      </w:pPr>
      <w:r w:rsidRPr="00F53E0E">
        <w:t xml:space="preserve">The methodology of teaching, Palmer insisted, teaches a distinct epistemology.  “A teacher, not some theory, is the living link in the epistemological chain....I may teach the rhetoric of freedom, but if I teach it </w:t>
      </w:r>
      <w:r w:rsidRPr="00F53E0E">
        <w:rPr>
          <w:i/>
        </w:rPr>
        <w:t>ex cathedra</w:t>
      </w:r>
      <w:r w:rsidRPr="00F53E0E">
        <w:t>, asking my students to rely solely on the authority of ‘the facts’ and demanding that they imitate authority on their papers and exams, I am teaching a slave ethic.”</w:t>
      </w:r>
      <w:r w:rsidRPr="00F53E0E">
        <w:rPr>
          <w:rStyle w:val="FootnoteReference"/>
        </w:rPr>
        <w:footnoteReference w:id="58"/>
      </w:r>
    </w:p>
    <w:p w:rsidR="00FB2D18" w:rsidRPr="00F53E0E" w:rsidRDefault="00FB2D18" w:rsidP="00FB2D18">
      <w:pPr>
        <w:spacing w:after="0" w:line="480" w:lineRule="auto"/>
        <w:ind w:firstLine="720"/>
      </w:pPr>
      <w:r w:rsidRPr="00F53E0E">
        <w:t>Even though this “conventional classroom” has innumerable critics, Palmer said, it offers false security, an escape from creativity and tension.  It “persists because it conveys a view of reality that simplifies our lives.  By this view, we and our world become objects to be lined up, counted, organized and owned, rather than a community of selves and spirits related to each other in a complex web of accountability called ‘truth’.”</w:t>
      </w:r>
      <w:r w:rsidRPr="00F53E0E">
        <w:rPr>
          <w:rStyle w:val="FootnoteReference"/>
        </w:rPr>
        <w:footnoteReference w:id="59"/>
      </w:r>
      <w:r w:rsidRPr="00F53E0E">
        <w:t xml:space="preserve">  </w:t>
      </w:r>
    </w:p>
    <w:p w:rsidR="00FB2D18" w:rsidRPr="00F53E0E" w:rsidRDefault="00FB2D18" w:rsidP="00FB2D18">
      <w:pPr>
        <w:spacing w:after="0" w:line="480" w:lineRule="auto"/>
        <w:ind w:firstLine="720"/>
      </w:pPr>
      <w:r w:rsidRPr="00F53E0E">
        <w:t>For true learning to take place, Palmer said, there must be “conversion”.</w:t>
      </w:r>
      <w:r w:rsidRPr="00F53E0E">
        <w:rPr>
          <w:rStyle w:val="FootnoteReference"/>
        </w:rPr>
        <w:footnoteReference w:id="60"/>
      </w:r>
      <w:r w:rsidRPr="00F53E0E">
        <w:t xml:space="preserve">  A new pedagogy should be established, that allows for the personal, communal nature of truth.  So, he proposed, in “authentic” education, “to teach is to create a space in which obedience to truth is practiced.”</w:t>
      </w:r>
      <w:r w:rsidRPr="00F53E0E">
        <w:rPr>
          <w:rStyle w:val="FootnoteReference"/>
        </w:rPr>
        <w:footnoteReference w:id="61"/>
      </w:r>
    </w:p>
    <w:p w:rsidR="00FB2D18" w:rsidRPr="00F53E0E" w:rsidRDefault="00FB2D18" w:rsidP="00FB2D18">
      <w:pPr>
        <w:spacing w:after="0" w:line="480" w:lineRule="auto"/>
        <w:ind w:firstLine="720"/>
      </w:pPr>
      <w:r w:rsidRPr="00F53E0E">
        <w:t>Palmer drew his concept of “space” from everyday experience: the difference between a meadow and a city bus, the peak seasons and the holidays, lecture and silence.</w:t>
      </w:r>
      <w:r w:rsidRPr="00F53E0E">
        <w:rPr>
          <w:rStyle w:val="FootnoteReference"/>
        </w:rPr>
        <w:footnoteReference w:id="62"/>
      </w:r>
      <w:r w:rsidRPr="00F53E0E">
        <w:t xml:space="preserve">  Through words, text, aesthetics, silence, and honest discussion, Palmer said, a teacher can transform a classroom into a “learning space.”</w:t>
      </w:r>
      <w:r w:rsidRPr="00F53E0E">
        <w:rPr>
          <w:rStyle w:val="FootnoteReference"/>
        </w:rPr>
        <w:footnoteReference w:id="63"/>
      </w:r>
    </w:p>
    <w:p w:rsidR="00FB2D18" w:rsidRPr="00F53E0E" w:rsidRDefault="00FB2D18" w:rsidP="00FB2D18">
      <w:pPr>
        <w:spacing w:after="0" w:line="480" w:lineRule="auto"/>
        <w:ind w:firstLine="720"/>
      </w:pPr>
      <w:r w:rsidRPr="00F53E0E">
        <w:t>A “learning space” is a holistic openness, uncluttered with egotism in the teacher, rivalry between students, competition with fragile understanding of self and overwhelming outside expectation.  It provides students room to inquire, to explore, to discover, to be silent.</w:t>
      </w:r>
      <w:r w:rsidRPr="00F53E0E">
        <w:rPr>
          <w:rStyle w:val="FootnoteReference"/>
        </w:rPr>
        <w:footnoteReference w:id="64"/>
      </w:r>
      <w:r w:rsidRPr="00F53E0E">
        <w:t xml:space="preserve">  It is bound, also; it does not allow for escape </w:t>
      </w:r>
      <w:r w:rsidRPr="00F53E0E">
        <w:lastRenderedPageBreak/>
        <w:t>or intrusion.  The teacher welcomes the tensions and the discomforts of learning; he does not smother even his own anxiety.</w:t>
      </w:r>
      <w:r w:rsidRPr="00F53E0E">
        <w:rPr>
          <w:rStyle w:val="FootnoteReference"/>
        </w:rPr>
        <w:footnoteReference w:id="65"/>
      </w:r>
      <w:r w:rsidRPr="00F53E0E">
        <w:t xml:space="preserve">  </w:t>
      </w:r>
    </w:p>
    <w:p w:rsidR="00FB2D18" w:rsidRPr="00F53E0E" w:rsidRDefault="00FB2D18" w:rsidP="00FB2D18">
      <w:pPr>
        <w:spacing w:after="0" w:line="480" w:lineRule="auto"/>
        <w:ind w:firstLine="720"/>
      </w:pPr>
      <w:r w:rsidRPr="00F53E0E">
        <w:t>It is a space of hospitality, a place of love and welcome.</w:t>
      </w:r>
      <w:r w:rsidRPr="00F53E0E">
        <w:rPr>
          <w:rStyle w:val="FootnoteReference"/>
        </w:rPr>
        <w:footnoteReference w:id="66"/>
      </w:r>
      <w:r w:rsidRPr="00F53E0E">
        <w:t xml:space="preserve">  It is a diverse, receptive gift-exchange, accepting every stranger as family.</w:t>
      </w:r>
      <w:r w:rsidRPr="00F53E0E">
        <w:rPr>
          <w:rStyle w:val="FootnoteReference"/>
        </w:rPr>
        <w:footnoteReference w:id="67"/>
      </w:r>
      <w:r w:rsidRPr="00F53E0E">
        <w:t xml:space="preserve">  There is space for feelings and emotions, too, not just intellect.  The sensitivity “essential” to teaching, Palmer said, finds articulation in learning space.</w:t>
      </w:r>
      <w:r w:rsidRPr="00F53E0E">
        <w:rPr>
          <w:rStyle w:val="FootnoteReference"/>
        </w:rPr>
        <w:footnoteReference w:id="68"/>
      </w:r>
    </w:p>
    <w:p w:rsidR="00FB2D18" w:rsidRPr="00F53E0E" w:rsidRDefault="00FB2D18" w:rsidP="00FB2D18">
      <w:pPr>
        <w:spacing w:after="0" w:line="480" w:lineRule="auto"/>
        <w:ind w:firstLine="720"/>
      </w:pPr>
      <w:r w:rsidRPr="00F53E0E">
        <w:t xml:space="preserve">Palmer defined “obedience” as “to listen with a discerning ear and respond faithfully to the personal implications of what one has </w:t>
      </w:r>
      <w:proofErr w:type="gramStart"/>
      <w:r w:rsidRPr="00F53E0E">
        <w:t>hear</w:t>
      </w:r>
      <w:proofErr w:type="gramEnd"/>
      <w:r w:rsidRPr="00F53E0E">
        <w:t>.”</w:t>
      </w:r>
      <w:r w:rsidRPr="00F53E0E">
        <w:rPr>
          <w:rStyle w:val="FootnoteReference"/>
        </w:rPr>
        <w:footnoteReference w:id="69"/>
      </w:r>
      <w:r w:rsidRPr="00F53E0E">
        <w:t xml:space="preserve">  The practice of obedience enters into the troth of truth, allowing “the other to speak back to us, not in conformity to what we want to hear, but in fidelity to the other’s truth.”</w:t>
      </w:r>
      <w:r w:rsidRPr="00F53E0E">
        <w:rPr>
          <w:rStyle w:val="FootnoteReference"/>
        </w:rPr>
        <w:footnoteReference w:id="70"/>
      </w:r>
    </w:p>
    <w:p w:rsidR="00FB2D18" w:rsidRPr="00F53E0E" w:rsidRDefault="00FB2D18" w:rsidP="00FB2D18">
      <w:pPr>
        <w:spacing w:after="0" w:line="480" w:lineRule="auto"/>
        <w:ind w:firstLine="720"/>
      </w:pPr>
      <w:r w:rsidRPr="00F53E0E">
        <w:t>Obedience to truth is a friendship, Palmer said.  The teacher is a mutual friend of the subject and the students; she introduces one to the other.  Study is not a process of mastery; it is getting to know a friend.  “Students are affirmed by the fact that this teacher wants them to know and be known by this valued friend in the context of a well-established love.”</w:t>
      </w:r>
      <w:r w:rsidRPr="00F53E0E">
        <w:rPr>
          <w:rStyle w:val="FootnoteReference"/>
        </w:rPr>
        <w:footnoteReference w:id="71"/>
      </w:r>
    </w:p>
    <w:p w:rsidR="00FB2D18" w:rsidRPr="00F53E0E" w:rsidRDefault="00FB2D18" w:rsidP="00FB2D18">
      <w:pPr>
        <w:spacing w:after="0" w:line="480" w:lineRule="auto"/>
        <w:ind w:firstLine="720"/>
      </w:pPr>
      <w:r w:rsidRPr="00F53E0E">
        <w:t>This transformation of knowing and teaching to acts of love, said Palmer, begins in the heart of the teacher.  The “classical spiritual virtues are epistemological virtues as well”.</w:t>
      </w:r>
      <w:r w:rsidRPr="00F53E0E">
        <w:rPr>
          <w:rStyle w:val="FootnoteReference"/>
        </w:rPr>
        <w:footnoteReference w:id="72"/>
      </w:r>
      <w:r w:rsidRPr="00F53E0E">
        <w:t xml:space="preserve">  Humility creates space, allowing the teacher to listen, to enter into obedience.  Faith gives courage to speak.  Reverence lifts the mind beyond the immediate into “the greater community of troth and to its ultimate source”, shattering any idolatry to self or consensus.</w:t>
      </w:r>
      <w:r w:rsidRPr="00F53E0E">
        <w:rPr>
          <w:rStyle w:val="FootnoteReference"/>
        </w:rPr>
        <w:footnoteReference w:id="73"/>
      </w:r>
    </w:p>
    <w:p w:rsidR="00FB2D18" w:rsidRPr="00F53E0E" w:rsidRDefault="00FB2D18" w:rsidP="00FB2D18">
      <w:pPr>
        <w:spacing w:after="0" w:line="480" w:lineRule="auto"/>
        <w:ind w:firstLine="720"/>
      </w:pPr>
      <w:r w:rsidRPr="00F53E0E">
        <w:t>This opens the heart to love.  Without love, said Palmer, there can be no true creativity, no community of truth.  Love allows openness to grace, the invasion “of a truth we cannot control”.</w:t>
      </w:r>
      <w:r w:rsidRPr="00F53E0E">
        <w:rPr>
          <w:rStyle w:val="FootnoteReference"/>
        </w:rPr>
        <w:footnoteReference w:id="74"/>
      </w:r>
      <w:r w:rsidRPr="00F53E0E">
        <w:t xml:space="preserve">  This, wrote Palmer, is </w:t>
      </w:r>
      <w:r w:rsidRPr="00F53E0E">
        <w:lastRenderedPageBreak/>
        <w:t>the heart of knowing and teaching.  “In receiving spiritual grace we understand that we not only seek but are sought, that we not only know but we are known, that we not only love but are loved.”</w:t>
      </w:r>
      <w:r w:rsidRPr="00F53E0E">
        <w:rPr>
          <w:rStyle w:val="FootnoteReference"/>
        </w:rPr>
        <w:footnoteReference w:id="75"/>
      </w:r>
    </w:p>
    <w:p w:rsidR="00FB2D18" w:rsidRDefault="00FB2D18" w:rsidP="00FB2D18">
      <w:pPr>
        <w:spacing w:after="0" w:line="480" w:lineRule="auto"/>
        <w:rPr>
          <w:b/>
        </w:rPr>
      </w:pPr>
    </w:p>
    <w:p w:rsidR="00FB2D18" w:rsidRPr="00F53E0E" w:rsidRDefault="00FB2D18" w:rsidP="00FB2D18">
      <w:pPr>
        <w:spacing w:after="0" w:line="480" w:lineRule="auto"/>
        <w:rPr>
          <w:b/>
        </w:rPr>
      </w:pPr>
      <w:r w:rsidRPr="00F53E0E">
        <w:rPr>
          <w:b/>
        </w:rPr>
        <w:t>Conclusion</w:t>
      </w:r>
    </w:p>
    <w:p w:rsidR="00FB2D18" w:rsidRPr="00F53E0E" w:rsidRDefault="00FB2D18" w:rsidP="00FB2D18">
      <w:pPr>
        <w:spacing w:after="0" w:line="480" w:lineRule="auto"/>
        <w:ind w:firstLine="720"/>
      </w:pPr>
      <w:proofErr w:type="spellStart"/>
      <w:r w:rsidRPr="00F53E0E">
        <w:t>Freire</w:t>
      </w:r>
      <w:proofErr w:type="spellEnd"/>
      <w:r w:rsidRPr="00F53E0E">
        <w:t xml:space="preserve"> remarked that his “admittedly tentative work” was intended “for radicals” – by which he meant Marxists and Christians.</w:t>
      </w:r>
      <w:r w:rsidRPr="00F53E0E">
        <w:rPr>
          <w:rStyle w:val="FootnoteReference"/>
        </w:rPr>
        <w:footnoteReference w:id="76"/>
      </w:r>
      <w:r w:rsidRPr="00F53E0E">
        <w:t xml:space="preserve">  In comparing the Marxist and Christian educational philosophies of </w:t>
      </w:r>
      <w:proofErr w:type="spellStart"/>
      <w:r w:rsidRPr="00F53E0E">
        <w:t>Freire</w:t>
      </w:r>
      <w:proofErr w:type="spellEnd"/>
      <w:r w:rsidRPr="00F53E0E">
        <w:t xml:space="preserve"> and Palmer, several salient parallels do appear.  </w:t>
      </w:r>
    </w:p>
    <w:p w:rsidR="00FB2D18" w:rsidRPr="00F53E0E" w:rsidRDefault="00FB2D18" w:rsidP="00FB2D18">
      <w:pPr>
        <w:spacing w:after="0" w:line="480" w:lineRule="auto"/>
        <w:ind w:firstLine="720"/>
      </w:pPr>
      <w:proofErr w:type="spellStart"/>
      <w:r w:rsidRPr="00F53E0E">
        <w:t>Freire</w:t>
      </w:r>
      <w:proofErr w:type="spellEnd"/>
      <w:r w:rsidRPr="00F53E0E">
        <w:t xml:space="preserve"> and Palmer share a similar criticism of the enlightenment model.  There seems to be a direct correlation between </w:t>
      </w:r>
      <w:proofErr w:type="spellStart"/>
      <w:r w:rsidRPr="00F53E0E">
        <w:t>Freire’s</w:t>
      </w:r>
      <w:proofErr w:type="spellEnd"/>
      <w:r w:rsidRPr="00F53E0E">
        <w:t xml:space="preserve"> “banking model” and Palmer’s “conventional classroom”.</w:t>
      </w:r>
      <w:r w:rsidRPr="00F53E0E">
        <w:rPr>
          <w:vertAlign w:val="superscript"/>
        </w:rPr>
        <w:footnoteReference w:id="77"/>
      </w:r>
      <w:r w:rsidRPr="00F53E0E">
        <w:t xml:space="preserve">  This storied, detached epistemology, whether manifest in the contradiction of oppression</w:t>
      </w:r>
      <w:r w:rsidRPr="00F53E0E">
        <w:rPr>
          <w:vertAlign w:val="superscript"/>
        </w:rPr>
        <w:footnoteReference w:id="78"/>
      </w:r>
      <w:r w:rsidRPr="00F53E0E">
        <w:t xml:space="preserve"> or the power-hungry lust for knowledge</w:t>
      </w:r>
      <w:r w:rsidRPr="00F53E0E">
        <w:rPr>
          <w:vertAlign w:val="superscript"/>
        </w:rPr>
        <w:footnoteReference w:id="79"/>
      </w:r>
      <w:r w:rsidRPr="00F53E0E">
        <w:t xml:space="preserve">, results in the manipulation of the world and the degradation of the individual.  Both </w:t>
      </w:r>
      <w:proofErr w:type="spellStart"/>
      <w:r w:rsidRPr="00F53E0E">
        <w:t>Freire</w:t>
      </w:r>
      <w:proofErr w:type="spellEnd"/>
      <w:r w:rsidRPr="00F53E0E">
        <w:t xml:space="preserve"> and Palmer see the depravations and despair of their respective societies as rooted in these epistemological convictions.</w:t>
      </w:r>
      <w:r w:rsidRPr="00F53E0E">
        <w:rPr>
          <w:vertAlign w:val="superscript"/>
        </w:rPr>
        <w:footnoteReference w:id="80"/>
      </w:r>
      <w:r w:rsidRPr="00F53E0E">
        <w:t xml:space="preserve"> </w:t>
      </w:r>
    </w:p>
    <w:p w:rsidR="00FB2D18" w:rsidRPr="00F53E0E" w:rsidRDefault="00FB2D18" w:rsidP="00FB2D18">
      <w:pPr>
        <w:spacing w:after="0" w:line="480" w:lineRule="auto"/>
        <w:ind w:firstLine="720"/>
      </w:pPr>
      <w:r w:rsidRPr="00F53E0E">
        <w:t xml:space="preserve">Furthermore, both </w:t>
      </w:r>
      <w:proofErr w:type="spellStart"/>
      <w:r w:rsidRPr="00F53E0E">
        <w:t>Freire</w:t>
      </w:r>
      <w:proofErr w:type="spellEnd"/>
      <w:r w:rsidRPr="00F53E0E">
        <w:t xml:space="preserve"> and Palmer agree that true education cannot take place without love.</w:t>
      </w:r>
      <w:r w:rsidRPr="00F53E0E">
        <w:rPr>
          <w:vertAlign w:val="superscript"/>
        </w:rPr>
        <w:footnoteReference w:id="81"/>
      </w:r>
      <w:r w:rsidRPr="00F53E0E">
        <w:t xml:space="preserve">  Love is understood as the prerequisite for dialogical teaching.  An unloving heart creates oppressive teaching, even when the teaching is reassuring.  A loving heart teaches truth, even when it hurts. The teacher should show genuine care for the students, and regard for their uniqueness and dignity as individuals.  This emphasis on love as integral to knowing moves the focus of teaching from didactic lecture to reflective dialogue.  Love makes the teacher as eager to receive as to give.  </w:t>
      </w:r>
    </w:p>
    <w:p w:rsidR="00FB2D18" w:rsidRPr="00F53E0E" w:rsidRDefault="00FB2D18" w:rsidP="00FB2D18">
      <w:pPr>
        <w:spacing w:after="0" w:line="480" w:lineRule="auto"/>
        <w:ind w:firstLine="720"/>
      </w:pPr>
      <w:r w:rsidRPr="00F53E0E">
        <w:t xml:space="preserve">Nor does love not stand in isolation.  </w:t>
      </w:r>
      <w:proofErr w:type="spellStart"/>
      <w:r w:rsidRPr="00F53E0E">
        <w:t>Freire</w:t>
      </w:r>
      <w:proofErr w:type="spellEnd"/>
      <w:r w:rsidRPr="00F53E0E">
        <w:t xml:space="preserve"> and Palmer see it as the total, or tantamount, of a litany of teaching virtues.   Both identify humility and faith as preconditions for dialogue, allowing mutual speaking and listening.</w:t>
      </w:r>
      <w:r w:rsidRPr="00F53E0E">
        <w:rPr>
          <w:vertAlign w:val="superscript"/>
        </w:rPr>
        <w:footnoteReference w:id="82"/>
      </w:r>
      <w:r w:rsidRPr="00F53E0E">
        <w:t xml:space="preserve">  To these, Palmer adds reverence and grace.</w:t>
      </w:r>
      <w:r w:rsidRPr="00F53E0E">
        <w:rPr>
          <w:vertAlign w:val="superscript"/>
        </w:rPr>
        <w:footnoteReference w:id="83"/>
      </w:r>
      <w:r w:rsidRPr="00F53E0E">
        <w:t xml:space="preserve">  </w:t>
      </w:r>
      <w:proofErr w:type="spellStart"/>
      <w:r w:rsidRPr="00F53E0E">
        <w:t>Freire</w:t>
      </w:r>
      <w:proofErr w:type="spellEnd"/>
      <w:r w:rsidRPr="00F53E0E">
        <w:t xml:space="preserve"> includes trust and hope.</w:t>
      </w:r>
      <w:r w:rsidRPr="00F53E0E">
        <w:rPr>
          <w:vertAlign w:val="superscript"/>
        </w:rPr>
        <w:footnoteReference w:id="84"/>
      </w:r>
      <w:r w:rsidRPr="00F53E0E">
        <w:t xml:space="preserve">  While the </w:t>
      </w:r>
      <w:r w:rsidRPr="00F53E0E">
        <w:lastRenderedPageBreak/>
        <w:t>precise lists are different, the importance of loving virtue remains clear.  Pedagogy outstrips methodology; pedagogy begins in the heart.</w:t>
      </w:r>
    </w:p>
    <w:p w:rsidR="00FB2D18" w:rsidRPr="00F53E0E" w:rsidRDefault="00FB2D18" w:rsidP="00FB2D18">
      <w:pPr>
        <w:spacing w:after="0" w:line="480" w:lineRule="auto"/>
        <w:ind w:firstLine="720"/>
      </w:pPr>
      <w:r w:rsidRPr="00F53E0E">
        <w:t xml:space="preserve">So </w:t>
      </w:r>
      <w:proofErr w:type="spellStart"/>
      <w:r w:rsidRPr="00F53E0E">
        <w:t>Freire</w:t>
      </w:r>
      <w:proofErr w:type="spellEnd"/>
      <w:r w:rsidRPr="00F53E0E">
        <w:t xml:space="preserve"> and Palmer endorse similar methodologies to teaching.  The practice of freedom and the creation of space appear to be metaphors for much the same thing: a communal, dialogical epistemology, embracing the dignity and equality of individuals.</w:t>
      </w:r>
      <w:r w:rsidRPr="00F53E0E">
        <w:rPr>
          <w:vertAlign w:val="superscript"/>
        </w:rPr>
        <w:footnoteReference w:id="85"/>
      </w:r>
      <w:r w:rsidRPr="00F53E0E">
        <w:t xml:space="preserve">  Education thus begins from the contexts of the students.  Learning occurs through critical dialogue about </w:t>
      </w:r>
      <w:proofErr w:type="gramStart"/>
      <w:r w:rsidRPr="00F53E0E">
        <w:t>those context</w:t>
      </w:r>
      <w:proofErr w:type="gramEnd"/>
      <w:r w:rsidRPr="00F53E0E">
        <w:t xml:space="preserve">, as encounter with the other broadens the individual context to regard the context of the community. </w:t>
      </w:r>
    </w:p>
    <w:p w:rsidR="00FB2D18" w:rsidRPr="00F53E0E" w:rsidRDefault="00FB2D18" w:rsidP="00FB2D18">
      <w:pPr>
        <w:spacing w:after="0" w:line="480" w:lineRule="auto"/>
        <w:ind w:firstLine="720"/>
      </w:pPr>
      <w:r w:rsidRPr="00F53E0E">
        <w:t>Remarkably, though they are post-enlightenment, neither of the two men is postmodern in the typical sense.  Both believe in an external truth, even objective truth.</w:t>
      </w:r>
      <w:r w:rsidRPr="00F53E0E">
        <w:rPr>
          <w:rStyle w:val="FootnoteReference"/>
        </w:rPr>
        <w:footnoteReference w:id="86"/>
      </w:r>
      <w:r w:rsidRPr="00F53E0E">
        <w:t xml:space="preserve">  Truth is a thing to be understood and grasped.  Education is the communication of that truth.</w:t>
      </w:r>
    </w:p>
    <w:p w:rsidR="00FB2D18" w:rsidRPr="00F53E0E" w:rsidRDefault="00FB2D18" w:rsidP="00FB2D18">
      <w:pPr>
        <w:spacing w:after="0" w:line="480" w:lineRule="auto"/>
        <w:ind w:firstLine="720"/>
      </w:pPr>
      <w:r w:rsidRPr="00F53E0E">
        <w:t xml:space="preserve">Here, however, an important distinction does appear.  </w:t>
      </w:r>
      <w:proofErr w:type="spellStart"/>
      <w:r w:rsidRPr="00F53E0E">
        <w:t>Freire</w:t>
      </w:r>
      <w:proofErr w:type="spellEnd"/>
      <w:r w:rsidRPr="00F53E0E">
        <w:t xml:space="preserve"> and Palmer assume different ends to education.  There does seem to be a strong similarity between </w:t>
      </w:r>
      <w:proofErr w:type="spellStart"/>
      <w:r w:rsidRPr="00F53E0E">
        <w:t>Freire’s</w:t>
      </w:r>
      <w:proofErr w:type="spellEnd"/>
      <w:r w:rsidRPr="00F53E0E">
        <w:t xml:space="preserve"> concept of “humanization” and Palmer’s “community of truth.”  Certainly, the educational goal of self-awareness, of critically entering into the present moment and working for transformation, is one both thinkers hold in high esteem.  But nowhere in </w:t>
      </w:r>
      <w:proofErr w:type="spellStart"/>
      <w:r w:rsidRPr="00F53E0E">
        <w:t>Freire</w:t>
      </w:r>
      <w:proofErr w:type="spellEnd"/>
      <w:r w:rsidRPr="00F53E0E">
        <w:t xml:space="preserve"> can there be found the “personal truth” of Palmer, the relentless, pursuing truth, the intimate truth – knower as well as the known.</w:t>
      </w:r>
      <w:r w:rsidRPr="00F53E0E">
        <w:rPr>
          <w:vertAlign w:val="superscript"/>
        </w:rPr>
        <w:footnoteReference w:id="87"/>
      </w:r>
    </w:p>
    <w:p w:rsidR="00FB2D18" w:rsidRPr="00F53E0E" w:rsidRDefault="00FB2D18" w:rsidP="00FB2D18">
      <w:pPr>
        <w:spacing w:after="0" w:line="480" w:lineRule="auto"/>
        <w:ind w:firstLine="720"/>
      </w:pPr>
      <w:r w:rsidRPr="00F53E0E">
        <w:t xml:space="preserve">To an extent, </w:t>
      </w:r>
      <w:proofErr w:type="spellStart"/>
      <w:r w:rsidRPr="00F53E0E">
        <w:t>Freire</w:t>
      </w:r>
      <w:proofErr w:type="spellEnd"/>
      <w:r w:rsidRPr="00F53E0E">
        <w:t xml:space="preserve"> agrees with Palmer in the concept of “naming the world.”</w:t>
      </w:r>
      <w:r w:rsidRPr="00F53E0E">
        <w:rPr>
          <w:vertAlign w:val="superscript"/>
        </w:rPr>
        <w:footnoteReference w:id="88"/>
      </w:r>
      <w:r w:rsidRPr="00F53E0E">
        <w:t xml:space="preserve">  Authentic education should release the creative and re-creative impetus, allowing students to discover truth in the world for </w:t>
      </w:r>
      <w:proofErr w:type="gramStart"/>
      <w:r w:rsidRPr="00F53E0E">
        <w:t>themselves</w:t>
      </w:r>
      <w:proofErr w:type="gramEnd"/>
      <w:r w:rsidRPr="00F53E0E">
        <w:t>, to speak and transform.</w:t>
      </w:r>
      <w:r w:rsidRPr="00F53E0E">
        <w:rPr>
          <w:vertAlign w:val="superscript"/>
        </w:rPr>
        <w:footnoteReference w:id="89"/>
      </w:r>
      <w:r w:rsidRPr="00F53E0E">
        <w:t xml:space="preserve">  But in Palmer, the creative work is “the great work of co-creation.”</w:t>
      </w:r>
      <w:r w:rsidRPr="00F53E0E">
        <w:rPr>
          <w:vertAlign w:val="superscript"/>
        </w:rPr>
        <w:footnoteReference w:id="90"/>
      </w:r>
      <w:r w:rsidRPr="00F53E0E">
        <w:t xml:space="preserve">   The community of truth learns from truth itself.  They do not simply decide on a name for truth; they listen to hear the name truth speaks to them.  For Palmer, education goes beyond dialogue, and becomes prayer.</w:t>
      </w:r>
      <w:r w:rsidRPr="00F53E0E">
        <w:rPr>
          <w:vertAlign w:val="superscript"/>
        </w:rPr>
        <w:footnoteReference w:id="91"/>
      </w:r>
    </w:p>
    <w:p w:rsidR="00FB2D18" w:rsidRPr="00F53E0E" w:rsidRDefault="00FB2D18" w:rsidP="00FB2D18">
      <w:pPr>
        <w:spacing w:after="0" w:line="480" w:lineRule="auto"/>
        <w:ind w:firstLine="720"/>
      </w:pPr>
      <w:r w:rsidRPr="00F53E0E">
        <w:lastRenderedPageBreak/>
        <w:t>But the central message of both the Marxist radical and the Christian radical is the same.  “We cannot settle for pious prayer as a preface for conventional education,’ said Palmer.  ‘Instead, we must use the power of love to transform the very knowledge we teach, the very methods we use to teach and learn it.”</w:t>
      </w:r>
      <w:r w:rsidRPr="00F53E0E">
        <w:rPr>
          <w:vertAlign w:val="superscript"/>
        </w:rPr>
        <w:footnoteReference w:id="92"/>
      </w:r>
      <w:r w:rsidRPr="00F53E0E">
        <w:t xml:space="preserve"> </w:t>
      </w:r>
    </w:p>
    <w:p w:rsidR="00FB2D18" w:rsidRPr="00F53E0E" w:rsidRDefault="00FB2D18" w:rsidP="00FB2D18">
      <w:pPr>
        <w:spacing w:after="0" w:line="480" w:lineRule="auto"/>
        <w:ind w:firstLine="720"/>
      </w:pPr>
      <w:r w:rsidRPr="00F53E0E">
        <w:t>Not only must education be reframed, so must the epistemology based on the education.  Education must find a different source of strength.  The strength to oppress is not the strength to liberate; the strength to rape is not the strength to love.</w:t>
      </w:r>
    </w:p>
    <w:p w:rsidR="00FB2D18" w:rsidRPr="00F53E0E" w:rsidRDefault="00FB2D18" w:rsidP="00FB2D18">
      <w:r w:rsidRPr="00F53E0E">
        <w:br w:type="page"/>
      </w:r>
    </w:p>
    <w:p w:rsidR="00FB2D18" w:rsidRPr="00F53E0E" w:rsidRDefault="00FB2D18" w:rsidP="00FB2D18">
      <w:pPr>
        <w:spacing w:after="0" w:line="480" w:lineRule="auto"/>
        <w:rPr>
          <w:smallCaps/>
        </w:rPr>
      </w:pPr>
      <w:r w:rsidRPr="00F53E0E">
        <w:rPr>
          <w:smallCaps/>
        </w:rPr>
        <w:lastRenderedPageBreak/>
        <w:t>Works Cited</w:t>
      </w:r>
    </w:p>
    <w:p w:rsidR="00FB2D18" w:rsidRPr="00F53E0E" w:rsidRDefault="00FB2D18" w:rsidP="00FB2D18">
      <w:pPr>
        <w:pStyle w:val="Bibliography"/>
        <w:ind w:left="720" w:hanging="720"/>
        <w:rPr>
          <w:noProof/>
        </w:rPr>
      </w:pPr>
      <w:r w:rsidRPr="00F53E0E">
        <w:fldChar w:fldCharType="begin"/>
      </w:r>
      <w:r w:rsidRPr="00F53E0E">
        <w:rPr>
          <w:lang w:val="en-US"/>
        </w:rPr>
        <w:instrText xml:space="preserve"> BIBLIOGRAPHY  \l 1033 </w:instrText>
      </w:r>
      <w:r w:rsidRPr="00F53E0E">
        <w:fldChar w:fldCharType="separate"/>
      </w:r>
      <w:r w:rsidRPr="00F53E0E">
        <w:rPr>
          <w:noProof/>
        </w:rPr>
        <w:t xml:space="preserve">Brookfield, Stephen D. </w:t>
      </w:r>
      <w:r w:rsidRPr="00F53E0E">
        <w:rPr>
          <w:i/>
          <w:iCs/>
          <w:noProof/>
        </w:rPr>
        <w:t>Becoming a Critically Reflective Teacher.</w:t>
      </w:r>
      <w:r w:rsidRPr="00F53E0E">
        <w:rPr>
          <w:noProof/>
        </w:rPr>
        <w:t xml:space="preserve"> San Francisco: Jossey-Bass, 1995.</w:t>
      </w:r>
    </w:p>
    <w:p w:rsidR="00FB2D18" w:rsidRPr="00F53E0E" w:rsidRDefault="00FB2D18" w:rsidP="00FB2D18">
      <w:pPr>
        <w:pStyle w:val="Bibliography"/>
        <w:ind w:left="720" w:hanging="720"/>
        <w:rPr>
          <w:noProof/>
        </w:rPr>
      </w:pPr>
      <w:r w:rsidRPr="00F53E0E">
        <w:rPr>
          <w:noProof/>
        </w:rPr>
        <w:t xml:space="preserve">Freire, Paulo. </w:t>
      </w:r>
      <w:r w:rsidRPr="00F53E0E">
        <w:rPr>
          <w:i/>
          <w:iCs/>
          <w:noProof/>
        </w:rPr>
        <w:t>Pedagogy of the Oppressed.</w:t>
      </w:r>
      <w:r w:rsidRPr="00F53E0E">
        <w:rPr>
          <w:noProof/>
        </w:rPr>
        <w:t xml:space="preserve"> Revised Edition. Translated by Myra Bergman Ramos. London: Penguin, 1993.</w:t>
      </w:r>
    </w:p>
    <w:p w:rsidR="00FB2D18" w:rsidRPr="00F53E0E" w:rsidRDefault="00FB2D18" w:rsidP="00FB2D18">
      <w:pPr>
        <w:pStyle w:val="Bibliography"/>
        <w:ind w:left="720" w:hanging="720"/>
        <w:rPr>
          <w:noProof/>
        </w:rPr>
      </w:pPr>
      <w:r w:rsidRPr="00F53E0E">
        <w:rPr>
          <w:noProof/>
        </w:rPr>
        <w:t xml:space="preserve">Hodgson, Peter C. </w:t>
      </w:r>
      <w:r w:rsidRPr="00F53E0E">
        <w:rPr>
          <w:i/>
          <w:iCs/>
          <w:noProof/>
        </w:rPr>
        <w:t>God's Wisdom: Toward a Theology of Education.</w:t>
      </w:r>
      <w:r w:rsidRPr="00F53E0E">
        <w:rPr>
          <w:noProof/>
        </w:rPr>
        <w:t xml:space="preserve"> Louisville: Westminster John Knox, 1999.</w:t>
      </w:r>
    </w:p>
    <w:p w:rsidR="00FB2D18" w:rsidRPr="00F53E0E" w:rsidRDefault="00FB2D18" w:rsidP="00FB2D18">
      <w:pPr>
        <w:pStyle w:val="Bibliography"/>
        <w:ind w:left="720" w:hanging="720"/>
        <w:rPr>
          <w:noProof/>
        </w:rPr>
      </w:pPr>
      <w:r w:rsidRPr="00F53E0E">
        <w:rPr>
          <w:noProof/>
        </w:rPr>
        <w:t xml:space="preserve">Kinsler, F. Ross. "Theological Education by extention: Equipping God's people for ministry." In </w:t>
      </w:r>
      <w:r w:rsidRPr="00F53E0E">
        <w:rPr>
          <w:i/>
          <w:iCs/>
          <w:noProof/>
        </w:rPr>
        <w:t>Ministry by the People: Theological Education by Extention</w:t>
      </w:r>
      <w:r w:rsidRPr="00F53E0E">
        <w:rPr>
          <w:noProof/>
        </w:rPr>
        <w:t>, edited by F. Ross Kinsler, 1-32. Geneva: WCC, 1983.</w:t>
      </w:r>
    </w:p>
    <w:p w:rsidR="00FB2D18" w:rsidRPr="00F53E0E" w:rsidRDefault="00FB2D18" w:rsidP="00FB2D18">
      <w:pPr>
        <w:pStyle w:val="Bibliography"/>
        <w:ind w:left="720" w:hanging="720"/>
        <w:rPr>
          <w:noProof/>
        </w:rPr>
      </w:pPr>
      <w:r w:rsidRPr="00F53E0E">
        <w:rPr>
          <w:noProof/>
        </w:rPr>
        <w:t xml:space="preserve">Kirk, Andrew. "Re-envisioning the Theological Curriculum as if the </w:t>
      </w:r>
      <w:r w:rsidRPr="00FC031E">
        <w:rPr>
          <w:i/>
          <w:noProof/>
        </w:rPr>
        <w:t>Missio Dei</w:t>
      </w:r>
      <w:r w:rsidRPr="00F53E0E">
        <w:rPr>
          <w:noProof/>
        </w:rPr>
        <w:t xml:space="preserve"> mattered." In </w:t>
      </w:r>
      <w:r w:rsidRPr="00F53E0E">
        <w:rPr>
          <w:i/>
          <w:iCs/>
          <w:noProof/>
        </w:rPr>
        <w:t>Theological Education as Mission</w:t>
      </w:r>
      <w:r w:rsidRPr="00F53E0E">
        <w:rPr>
          <w:noProof/>
        </w:rPr>
        <w:t>, edited by Peter F. Penner, 22-37. Scharzenfeld,Germany: Neufeld Verlag, 2005.</w:t>
      </w:r>
    </w:p>
    <w:p w:rsidR="00FB2D18" w:rsidRPr="00F53E0E" w:rsidRDefault="00FB2D18" w:rsidP="00FB2D18">
      <w:pPr>
        <w:pStyle w:val="Bibliography"/>
        <w:ind w:left="720" w:hanging="720"/>
        <w:rPr>
          <w:noProof/>
        </w:rPr>
      </w:pPr>
      <w:r w:rsidRPr="00F53E0E">
        <w:rPr>
          <w:noProof/>
        </w:rPr>
        <w:t xml:space="preserve">Ott, Bernhard. </w:t>
      </w:r>
      <w:r w:rsidRPr="00F53E0E">
        <w:rPr>
          <w:i/>
          <w:iCs/>
          <w:noProof/>
        </w:rPr>
        <w:t>Beyond Fragmentation: Integrating Mission and Theological Education.</w:t>
      </w:r>
      <w:r w:rsidRPr="00F53E0E">
        <w:rPr>
          <w:noProof/>
        </w:rPr>
        <w:t xml:space="preserve"> Carlisle, UK: Regnum Books, 2001.</w:t>
      </w:r>
    </w:p>
    <w:p w:rsidR="00FB2D18" w:rsidRPr="00F53E0E" w:rsidRDefault="00FB2D18" w:rsidP="00FB2D18">
      <w:pPr>
        <w:pStyle w:val="Bibliography"/>
        <w:ind w:left="720" w:hanging="720"/>
        <w:rPr>
          <w:noProof/>
        </w:rPr>
      </w:pPr>
      <w:r w:rsidRPr="00F53E0E">
        <w:rPr>
          <w:noProof/>
        </w:rPr>
        <w:t xml:space="preserve">Palmer, Parker. </w:t>
      </w:r>
      <w:r w:rsidRPr="00F53E0E">
        <w:rPr>
          <w:i/>
          <w:iCs/>
          <w:noProof/>
        </w:rPr>
        <w:t>To Know as we are Known.</w:t>
      </w:r>
      <w:r w:rsidRPr="00F53E0E">
        <w:rPr>
          <w:noProof/>
        </w:rPr>
        <w:t xml:space="preserve"> New York: Harper Collins, 1993.</w:t>
      </w:r>
    </w:p>
    <w:p w:rsidR="00FB2D18" w:rsidRPr="00F53E0E" w:rsidRDefault="00FB2D18" w:rsidP="00FB2D18">
      <w:pPr>
        <w:pStyle w:val="Bibliography"/>
        <w:ind w:left="720" w:hanging="720"/>
        <w:rPr>
          <w:noProof/>
        </w:rPr>
      </w:pPr>
      <w:r w:rsidRPr="00F53E0E">
        <w:rPr>
          <w:noProof/>
        </w:rPr>
        <w:t xml:space="preserve">Wadell, Paul. "Teaching as a Ministry of Hope." In </w:t>
      </w:r>
      <w:r w:rsidRPr="00F53E0E">
        <w:rPr>
          <w:i/>
          <w:iCs/>
          <w:noProof/>
        </w:rPr>
        <w:t>The Scope of Our Art: The Vocation of the Theological Tutor</w:t>
      </w:r>
      <w:r w:rsidRPr="00F53E0E">
        <w:rPr>
          <w:noProof/>
        </w:rPr>
        <w:t>, edited by L. Gregory Jones and Stephanie Paulsell, 120-135. Grand Rapids: Eerdmans, 2002.</w:t>
      </w:r>
    </w:p>
    <w:p w:rsidR="00FB2D18" w:rsidRPr="00F53E0E" w:rsidRDefault="00FB2D18" w:rsidP="00FB2D18">
      <w:pPr>
        <w:pStyle w:val="Bibliography"/>
        <w:ind w:left="720" w:hanging="720"/>
        <w:rPr>
          <w:noProof/>
        </w:rPr>
      </w:pPr>
      <w:r w:rsidRPr="00F53E0E">
        <w:rPr>
          <w:noProof/>
        </w:rPr>
        <w:t xml:space="preserve">Wimberly, Anne E. Streaty. "Hospitable Kinship in Theological Education." </w:t>
      </w:r>
      <w:r w:rsidRPr="00F53E0E">
        <w:rPr>
          <w:i/>
          <w:iCs/>
          <w:noProof/>
        </w:rPr>
        <w:t>Teaching Theology and Religion</w:t>
      </w:r>
      <w:r w:rsidRPr="00F53E0E">
        <w:rPr>
          <w:noProof/>
        </w:rPr>
        <w:t xml:space="preserve"> 7, no. 1 (2004): 3-12.</w:t>
      </w:r>
    </w:p>
    <w:p w:rsidR="00517BF9" w:rsidRDefault="00FB2D18" w:rsidP="00FB2D18">
      <w:r w:rsidRPr="00F53E0E">
        <w:fldChar w:fldCharType="end"/>
      </w:r>
    </w:p>
    <w:sectPr w:rsidR="00517BF9" w:rsidSect="0037454A">
      <w:headerReference w:type="default" r:id="rId8"/>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7C9" w:rsidRDefault="001877C9" w:rsidP="00FB2D18">
      <w:pPr>
        <w:spacing w:after="0" w:line="240" w:lineRule="auto"/>
      </w:pPr>
      <w:r>
        <w:separator/>
      </w:r>
    </w:p>
  </w:endnote>
  <w:endnote w:type="continuationSeparator" w:id="0">
    <w:p w:rsidR="001877C9" w:rsidRDefault="001877C9" w:rsidP="00FB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7C9" w:rsidRDefault="001877C9" w:rsidP="00FB2D18">
      <w:pPr>
        <w:spacing w:after="0" w:line="240" w:lineRule="auto"/>
      </w:pPr>
      <w:r>
        <w:separator/>
      </w:r>
    </w:p>
  </w:footnote>
  <w:footnote w:type="continuationSeparator" w:id="0">
    <w:p w:rsidR="001877C9" w:rsidRDefault="001877C9" w:rsidP="00FB2D18">
      <w:pPr>
        <w:spacing w:after="0" w:line="240" w:lineRule="auto"/>
      </w:pPr>
      <w:r>
        <w:continuationSeparator/>
      </w:r>
    </w:p>
  </w:footnote>
  <w:footnote w:id="1">
    <w:p w:rsidR="00FB2D18" w:rsidRPr="006F75DB" w:rsidRDefault="00FB2D18" w:rsidP="00FB2D18">
      <w:pPr>
        <w:pStyle w:val="FootnoteText"/>
        <w:rPr>
          <w:lang w:val="en-US"/>
        </w:rPr>
      </w:pPr>
      <w:r>
        <w:rPr>
          <w:rStyle w:val="FootnoteReference"/>
        </w:rPr>
        <w:footnoteRef/>
      </w:r>
      <w:r>
        <w:t xml:space="preserve"> </w:t>
      </w:r>
      <w:r>
        <w:rPr>
          <w:lang w:val="en-US"/>
        </w:rPr>
        <w:t xml:space="preserve">For one example of the application of </w:t>
      </w:r>
      <w:proofErr w:type="spellStart"/>
      <w:r>
        <w:rPr>
          <w:lang w:val="en-US"/>
        </w:rPr>
        <w:t>Freire’s</w:t>
      </w:r>
      <w:proofErr w:type="spellEnd"/>
      <w:r>
        <w:rPr>
          <w:lang w:val="en-US"/>
        </w:rPr>
        <w:t xml:space="preserve"> thought to theological education, see </w:t>
      </w:r>
      <w:r w:rsidRPr="00B608E2">
        <w:t xml:space="preserve">F. Ross </w:t>
      </w:r>
      <w:proofErr w:type="spellStart"/>
      <w:r w:rsidRPr="00B608E2">
        <w:t>Kinsler</w:t>
      </w:r>
      <w:proofErr w:type="spellEnd"/>
      <w:r w:rsidRPr="00B608E2">
        <w:t>,</w:t>
      </w:r>
      <w:r>
        <w:t xml:space="preserve"> “</w:t>
      </w:r>
      <w:r w:rsidRPr="00B608E2">
        <w:t>Theological Education by extension: Equipping God's people for ministry</w:t>
      </w:r>
      <w:r>
        <w:t>,”</w:t>
      </w:r>
      <w:r w:rsidRPr="00B608E2">
        <w:t xml:space="preserve"> </w:t>
      </w:r>
      <w:r>
        <w:t>i</w:t>
      </w:r>
      <w:r w:rsidRPr="00B608E2">
        <w:t xml:space="preserve">n </w:t>
      </w:r>
      <w:r w:rsidRPr="00B608E2">
        <w:rPr>
          <w:i/>
          <w:iCs/>
        </w:rPr>
        <w:t xml:space="preserve">Ministry by the People: Theological Education by </w:t>
      </w:r>
      <w:proofErr w:type="spellStart"/>
      <w:r w:rsidRPr="00B608E2">
        <w:rPr>
          <w:i/>
          <w:iCs/>
        </w:rPr>
        <w:t>Extention</w:t>
      </w:r>
      <w:proofErr w:type="spellEnd"/>
      <w:r w:rsidRPr="00B608E2">
        <w:t xml:space="preserve">, </w:t>
      </w:r>
      <w:r>
        <w:t>ed.</w:t>
      </w:r>
      <w:r w:rsidRPr="00B608E2">
        <w:t xml:space="preserve"> F. Ross </w:t>
      </w:r>
      <w:proofErr w:type="spellStart"/>
      <w:r w:rsidRPr="00B608E2">
        <w:t>Ki</w:t>
      </w:r>
      <w:r>
        <w:t>nsler</w:t>
      </w:r>
      <w:proofErr w:type="spellEnd"/>
      <w:r>
        <w:t xml:space="preserve"> (</w:t>
      </w:r>
      <w:r w:rsidRPr="00B608E2">
        <w:t>Geneva: WCC, 1983</w:t>
      </w:r>
      <w:r>
        <w:t>),</w:t>
      </w:r>
      <w:r w:rsidRPr="00B608E2">
        <w:t xml:space="preserve"> 1-32.</w:t>
      </w:r>
    </w:p>
  </w:footnote>
  <w:footnote w:id="2">
    <w:p w:rsidR="00FB2D18" w:rsidRPr="00F857AB" w:rsidRDefault="00FB2D18" w:rsidP="00FB2D18">
      <w:pPr>
        <w:pStyle w:val="FootnoteText"/>
        <w:rPr>
          <w:lang w:val="en-US"/>
        </w:rPr>
      </w:pPr>
      <w:r>
        <w:rPr>
          <w:rStyle w:val="FootnoteReference"/>
        </w:rPr>
        <w:footnoteRef/>
      </w:r>
      <w:r>
        <w:t xml:space="preserve"> </w:t>
      </w:r>
      <w:r>
        <w:rPr>
          <w:lang w:val="en-US"/>
        </w:rPr>
        <w:t xml:space="preserve">Paulo </w:t>
      </w:r>
      <w:proofErr w:type="spellStart"/>
      <w:r>
        <w:rPr>
          <w:lang w:val="en-US"/>
        </w:rPr>
        <w:t>Freire</w:t>
      </w:r>
      <w:proofErr w:type="spellEnd"/>
      <w:r>
        <w:rPr>
          <w:lang w:val="en-US"/>
        </w:rPr>
        <w:t xml:space="preserve">, </w:t>
      </w:r>
      <w:r>
        <w:rPr>
          <w:i/>
          <w:lang w:val="en-US"/>
        </w:rPr>
        <w:t>Pedagogy of the Oppressed</w:t>
      </w:r>
      <w:r>
        <w:rPr>
          <w:lang w:val="en-US"/>
        </w:rPr>
        <w:t>, Revised Edition, trans. Myra Bergman Ramos (London: Penguin, 1993).</w:t>
      </w:r>
    </w:p>
  </w:footnote>
  <w:footnote w:id="3">
    <w:p w:rsidR="00FB2D18" w:rsidRPr="005B3A64" w:rsidRDefault="00FB2D18" w:rsidP="00FB2D18">
      <w:pPr>
        <w:pStyle w:val="FootnoteText"/>
        <w:rPr>
          <w:lang w:val="en-US"/>
        </w:rPr>
      </w:pPr>
      <w:r>
        <w:rPr>
          <w:rStyle w:val="FootnoteReference"/>
        </w:rPr>
        <w:footnoteRef/>
      </w:r>
      <w:r>
        <w:t xml:space="preserve"> </w:t>
      </w:r>
      <w:r>
        <w:rPr>
          <w:lang w:val="en-US"/>
        </w:rPr>
        <w:t xml:space="preserve">Bernhard </w:t>
      </w:r>
      <w:proofErr w:type="spellStart"/>
      <w:r>
        <w:rPr>
          <w:lang w:val="en-US"/>
        </w:rPr>
        <w:t>Ott</w:t>
      </w:r>
      <w:proofErr w:type="spellEnd"/>
      <w:r>
        <w:rPr>
          <w:lang w:val="en-US"/>
        </w:rPr>
        <w:t xml:space="preserve">, </w:t>
      </w:r>
      <w:r>
        <w:rPr>
          <w:i/>
          <w:lang w:val="en-US"/>
        </w:rPr>
        <w:t>Beyond Fragmentation: Integrating Mission and Theological Education</w:t>
      </w:r>
      <w:r>
        <w:rPr>
          <w:lang w:val="en-US"/>
        </w:rPr>
        <w:t xml:space="preserve"> (Carlisle, UK: Regnum Books, 2001), 233.</w:t>
      </w:r>
    </w:p>
  </w:footnote>
  <w:footnote w:id="4">
    <w:p w:rsidR="00FB2D18" w:rsidRPr="001F3D55" w:rsidRDefault="00FB2D18" w:rsidP="00FB2D18">
      <w:pPr>
        <w:pStyle w:val="FootnoteText"/>
        <w:rPr>
          <w:lang w:val="en-US"/>
        </w:rPr>
      </w:pPr>
      <w:r>
        <w:rPr>
          <w:rStyle w:val="FootnoteReference"/>
        </w:rPr>
        <w:footnoteRef/>
      </w:r>
      <w:r>
        <w:t xml:space="preserve"> </w:t>
      </w:r>
      <w:proofErr w:type="spellStart"/>
      <w:r>
        <w:t>Freire</w:t>
      </w:r>
      <w:proofErr w:type="spellEnd"/>
      <w:r>
        <w:t>, 25-27.</w:t>
      </w:r>
    </w:p>
  </w:footnote>
  <w:footnote w:id="5">
    <w:p w:rsidR="00FB2D18" w:rsidRPr="00903752" w:rsidRDefault="00FB2D18" w:rsidP="00FB2D18">
      <w:pPr>
        <w:pStyle w:val="FootnoteText"/>
        <w:rPr>
          <w:lang w:val="en-US"/>
        </w:rPr>
      </w:pPr>
      <w:r>
        <w:rPr>
          <w:rStyle w:val="FootnoteReference"/>
        </w:rPr>
        <w:footnoteRef/>
      </w:r>
      <w:r>
        <w:t xml:space="preserve"> </w:t>
      </w:r>
      <w:proofErr w:type="gramStart"/>
      <w:r>
        <w:rPr>
          <w:lang w:val="en-US"/>
        </w:rPr>
        <w:t>Ibid, 53.</w:t>
      </w:r>
      <w:proofErr w:type="gramEnd"/>
    </w:p>
  </w:footnote>
  <w:footnote w:id="6">
    <w:p w:rsidR="00FB2D18" w:rsidRPr="0079552A" w:rsidRDefault="00FB2D18" w:rsidP="00FB2D18">
      <w:pPr>
        <w:pStyle w:val="FootnoteText"/>
        <w:rPr>
          <w:lang w:val="en-US"/>
        </w:rPr>
      </w:pPr>
      <w:r>
        <w:rPr>
          <w:rStyle w:val="FootnoteReference"/>
        </w:rPr>
        <w:footnoteRef/>
      </w:r>
      <w:r>
        <w:t xml:space="preserve"> </w:t>
      </w:r>
      <w:proofErr w:type="gramStart"/>
      <w:r>
        <w:rPr>
          <w:lang w:val="en-US"/>
        </w:rPr>
        <w:t>Ibid, 28.</w:t>
      </w:r>
      <w:proofErr w:type="gramEnd"/>
    </w:p>
  </w:footnote>
  <w:footnote w:id="7">
    <w:p w:rsidR="00FB2D18" w:rsidRPr="00742120" w:rsidRDefault="00FB2D18" w:rsidP="00FB2D18">
      <w:pPr>
        <w:pStyle w:val="FootnoteText"/>
        <w:rPr>
          <w:lang w:val="en-US"/>
        </w:rPr>
      </w:pPr>
      <w:r>
        <w:rPr>
          <w:rStyle w:val="FootnoteReference"/>
        </w:rPr>
        <w:footnoteRef/>
      </w:r>
      <w:r>
        <w:t xml:space="preserve"> </w:t>
      </w:r>
      <w:r>
        <w:rPr>
          <w:lang w:val="en-US"/>
        </w:rPr>
        <w:t>Ibid.</w:t>
      </w:r>
    </w:p>
  </w:footnote>
  <w:footnote w:id="8">
    <w:p w:rsidR="00FB2D18" w:rsidRPr="00742120" w:rsidRDefault="00FB2D18" w:rsidP="00FB2D18">
      <w:pPr>
        <w:pStyle w:val="FootnoteText"/>
        <w:rPr>
          <w:lang w:val="en-US"/>
        </w:rPr>
      </w:pPr>
      <w:r>
        <w:rPr>
          <w:rStyle w:val="FootnoteReference"/>
        </w:rPr>
        <w:footnoteRef/>
      </w:r>
      <w:r>
        <w:t xml:space="preserve"> </w:t>
      </w:r>
      <w:r>
        <w:rPr>
          <w:lang w:val="en-US"/>
        </w:rPr>
        <w:t>Ibid, 29-30.</w:t>
      </w:r>
    </w:p>
  </w:footnote>
  <w:footnote w:id="9">
    <w:p w:rsidR="00FB2D18" w:rsidRPr="00742120" w:rsidRDefault="00FB2D18" w:rsidP="00FB2D18">
      <w:pPr>
        <w:pStyle w:val="FootnoteText"/>
        <w:rPr>
          <w:lang w:val="en-US"/>
        </w:rPr>
      </w:pPr>
      <w:r>
        <w:rPr>
          <w:rStyle w:val="FootnoteReference"/>
        </w:rPr>
        <w:footnoteRef/>
      </w:r>
      <w:r>
        <w:t xml:space="preserve"> </w:t>
      </w:r>
      <w:proofErr w:type="gramStart"/>
      <w:r>
        <w:rPr>
          <w:lang w:val="en-US"/>
        </w:rPr>
        <w:t>Ibid, 30.</w:t>
      </w:r>
      <w:proofErr w:type="gramEnd"/>
    </w:p>
  </w:footnote>
  <w:footnote w:id="10">
    <w:p w:rsidR="00FB2D18" w:rsidRPr="00742120" w:rsidRDefault="00FB2D18" w:rsidP="00FB2D18">
      <w:pPr>
        <w:pStyle w:val="FootnoteText"/>
        <w:rPr>
          <w:lang w:val="en-US"/>
        </w:rPr>
      </w:pPr>
      <w:r>
        <w:rPr>
          <w:rStyle w:val="FootnoteReference"/>
        </w:rPr>
        <w:footnoteRef/>
      </w:r>
      <w:r>
        <w:t xml:space="preserve"> </w:t>
      </w:r>
      <w:proofErr w:type="gramStart"/>
      <w:r>
        <w:rPr>
          <w:lang w:val="en-US"/>
        </w:rPr>
        <w:t>Ibid, 25.</w:t>
      </w:r>
      <w:proofErr w:type="gramEnd"/>
    </w:p>
  </w:footnote>
  <w:footnote w:id="11">
    <w:p w:rsidR="00FB2D18" w:rsidRPr="008B7CE3" w:rsidRDefault="00FB2D18" w:rsidP="00FB2D18">
      <w:pPr>
        <w:pStyle w:val="FootnoteText"/>
        <w:rPr>
          <w:lang w:val="en-US"/>
        </w:rPr>
      </w:pPr>
      <w:r>
        <w:rPr>
          <w:rStyle w:val="FootnoteReference"/>
        </w:rPr>
        <w:footnoteRef/>
      </w:r>
      <w:r>
        <w:t xml:space="preserve"> </w:t>
      </w:r>
      <w:proofErr w:type="gramStart"/>
      <w:r>
        <w:t>Ibid</w:t>
      </w:r>
      <w:r>
        <w:rPr>
          <w:lang w:val="en-US"/>
        </w:rPr>
        <w:t>, 29.</w:t>
      </w:r>
      <w:proofErr w:type="gramEnd"/>
    </w:p>
  </w:footnote>
  <w:footnote w:id="12">
    <w:p w:rsidR="00FB2D18" w:rsidRPr="00D84162" w:rsidRDefault="00FB2D18" w:rsidP="00FB2D18">
      <w:pPr>
        <w:pStyle w:val="FootnoteText"/>
        <w:rPr>
          <w:lang w:val="en-US"/>
        </w:rPr>
      </w:pPr>
      <w:r>
        <w:rPr>
          <w:rStyle w:val="FootnoteReference"/>
        </w:rPr>
        <w:footnoteRef/>
      </w:r>
      <w:r>
        <w:t xml:space="preserve"> </w:t>
      </w:r>
      <w:r>
        <w:rPr>
          <w:lang w:val="en-US"/>
        </w:rPr>
        <w:t xml:space="preserve">Peter C. Hodgson, </w:t>
      </w:r>
      <w:r>
        <w:rPr>
          <w:i/>
          <w:lang w:val="en-US"/>
        </w:rPr>
        <w:t>God’s Wisdom: Toward a Theology of Education</w:t>
      </w:r>
      <w:r>
        <w:rPr>
          <w:lang w:val="en-US"/>
        </w:rPr>
        <w:t xml:space="preserve"> (Louisville: Westminster John Knox, 1999), 75.</w:t>
      </w:r>
    </w:p>
  </w:footnote>
  <w:footnote w:id="13">
    <w:p w:rsidR="00FB2D18" w:rsidRPr="00B812F2" w:rsidRDefault="00FB2D18" w:rsidP="00FB2D18">
      <w:pPr>
        <w:pStyle w:val="FootnoteText"/>
        <w:rPr>
          <w:lang w:val="en-US"/>
        </w:rPr>
      </w:pPr>
      <w:r>
        <w:rPr>
          <w:rStyle w:val="FootnoteReference"/>
        </w:rPr>
        <w:footnoteRef/>
      </w:r>
      <w:r>
        <w:t xml:space="preserve"> </w:t>
      </w:r>
      <w:proofErr w:type="spellStart"/>
      <w:proofErr w:type="gramStart"/>
      <w:r>
        <w:t>Freire</w:t>
      </w:r>
      <w:proofErr w:type="spellEnd"/>
      <w:r>
        <w:t>, 63, 68.</w:t>
      </w:r>
      <w:proofErr w:type="gramEnd"/>
    </w:p>
  </w:footnote>
  <w:footnote w:id="14">
    <w:p w:rsidR="00FB2D18" w:rsidRPr="00501CFF" w:rsidRDefault="00FB2D18" w:rsidP="00FB2D18">
      <w:pPr>
        <w:pStyle w:val="FootnoteText"/>
        <w:rPr>
          <w:lang w:val="en-US"/>
        </w:rPr>
      </w:pPr>
      <w:r>
        <w:rPr>
          <w:rStyle w:val="FootnoteReference"/>
        </w:rPr>
        <w:footnoteRef/>
      </w:r>
      <w:r>
        <w:t xml:space="preserve"> </w:t>
      </w:r>
      <w:proofErr w:type="gramStart"/>
      <w:r>
        <w:rPr>
          <w:lang w:val="en-US"/>
        </w:rPr>
        <w:t>Ibid, 34.</w:t>
      </w:r>
      <w:proofErr w:type="gramEnd"/>
    </w:p>
  </w:footnote>
  <w:footnote w:id="15">
    <w:p w:rsidR="00FB2D18" w:rsidRPr="004854C7" w:rsidRDefault="00FB2D18" w:rsidP="00FB2D18">
      <w:pPr>
        <w:pStyle w:val="FootnoteText"/>
        <w:rPr>
          <w:lang w:val="en-US"/>
        </w:rPr>
      </w:pPr>
      <w:r>
        <w:rPr>
          <w:rStyle w:val="FootnoteReference"/>
        </w:rPr>
        <w:footnoteRef/>
      </w:r>
      <w:r>
        <w:t xml:space="preserve"> </w:t>
      </w:r>
      <w:proofErr w:type="gramStart"/>
      <w:r>
        <w:rPr>
          <w:lang w:val="en-US"/>
        </w:rPr>
        <w:t>Ibid</w:t>
      </w:r>
      <w:r>
        <w:t>, 53</w:t>
      </w:r>
      <w:r>
        <w:rPr>
          <w:lang w:val="en-US"/>
        </w:rPr>
        <w:t>.</w:t>
      </w:r>
      <w:proofErr w:type="gramEnd"/>
    </w:p>
  </w:footnote>
  <w:footnote w:id="16">
    <w:p w:rsidR="00FB2D18" w:rsidRPr="007C4D4B" w:rsidRDefault="00FB2D18" w:rsidP="00FB2D18">
      <w:pPr>
        <w:pStyle w:val="FootnoteText"/>
        <w:rPr>
          <w:lang w:val="en-US"/>
        </w:rPr>
      </w:pPr>
      <w:r>
        <w:rPr>
          <w:rStyle w:val="FootnoteReference"/>
        </w:rPr>
        <w:footnoteRef/>
      </w:r>
      <w:r>
        <w:t xml:space="preserve"> Ibid.</w:t>
      </w:r>
    </w:p>
  </w:footnote>
  <w:footnote w:id="17">
    <w:p w:rsidR="00FB2D18" w:rsidRPr="00903752" w:rsidRDefault="00FB2D18" w:rsidP="00FB2D18">
      <w:pPr>
        <w:pStyle w:val="FootnoteText"/>
        <w:rPr>
          <w:lang w:val="en-US"/>
        </w:rPr>
      </w:pPr>
      <w:r>
        <w:rPr>
          <w:rStyle w:val="FootnoteReference"/>
        </w:rPr>
        <w:footnoteRef/>
      </w:r>
      <w:r>
        <w:t xml:space="preserve"> </w:t>
      </w:r>
      <w:proofErr w:type="gramStart"/>
      <w:r>
        <w:rPr>
          <w:lang w:val="en-US"/>
        </w:rPr>
        <w:t>Ibid, 137.</w:t>
      </w:r>
      <w:proofErr w:type="gramEnd"/>
    </w:p>
  </w:footnote>
  <w:footnote w:id="18">
    <w:p w:rsidR="00FB2D18" w:rsidRPr="00903752" w:rsidRDefault="00FB2D18" w:rsidP="00FB2D18">
      <w:pPr>
        <w:pStyle w:val="FootnoteText"/>
        <w:rPr>
          <w:lang w:val="en-US"/>
        </w:rPr>
      </w:pPr>
      <w:r>
        <w:rPr>
          <w:rStyle w:val="FootnoteReference"/>
        </w:rPr>
        <w:footnoteRef/>
      </w:r>
      <w:r>
        <w:t xml:space="preserve"> </w:t>
      </w:r>
      <w:r>
        <w:rPr>
          <w:lang w:val="en-US"/>
        </w:rPr>
        <w:t>Ibid, 53-54.</w:t>
      </w:r>
    </w:p>
  </w:footnote>
  <w:footnote w:id="19">
    <w:p w:rsidR="00FB2D18" w:rsidRPr="00E37FCA" w:rsidRDefault="00FB2D18" w:rsidP="00FB2D18">
      <w:pPr>
        <w:pStyle w:val="FootnoteText"/>
        <w:rPr>
          <w:lang w:val="en-US"/>
        </w:rPr>
      </w:pPr>
      <w:r>
        <w:rPr>
          <w:rStyle w:val="FootnoteReference"/>
        </w:rPr>
        <w:footnoteRef/>
      </w:r>
      <w:r>
        <w:t xml:space="preserve"> </w:t>
      </w:r>
      <w:r>
        <w:rPr>
          <w:lang w:val="en-US"/>
        </w:rPr>
        <w:t>Ibid, 54, 120 (original emphasis removed).</w:t>
      </w:r>
    </w:p>
  </w:footnote>
  <w:footnote w:id="20">
    <w:p w:rsidR="00FB2D18" w:rsidRPr="00237DCA" w:rsidRDefault="00FB2D18" w:rsidP="00FB2D18">
      <w:pPr>
        <w:pStyle w:val="FootnoteText"/>
        <w:rPr>
          <w:lang w:val="en-US"/>
        </w:rPr>
      </w:pPr>
      <w:r>
        <w:rPr>
          <w:rStyle w:val="FootnoteReference"/>
        </w:rPr>
        <w:footnoteRef/>
      </w:r>
      <w:r>
        <w:t xml:space="preserve"> </w:t>
      </w:r>
      <w:proofErr w:type="gramStart"/>
      <w:r>
        <w:rPr>
          <w:lang w:val="en-US"/>
        </w:rPr>
        <w:t>Ibid, 54.</w:t>
      </w:r>
      <w:proofErr w:type="gramEnd"/>
    </w:p>
  </w:footnote>
  <w:footnote w:id="21">
    <w:p w:rsidR="00FB2D18" w:rsidRPr="00606547" w:rsidRDefault="00FB2D18" w:rsidP="00FB2D18">
      <w:pPr>
        <w:pStyle w:val="FootnoteText"/>
        <w:rPr>
          <w:lang w:val="en-US"/>
        </w:rPr>
      </w:pPr>
      <w:r>
        <w:rPr>
          <w:rStyle w:val="FootnoteReference"/>
        </w:rPr>
        <w:footnoteRef/>
      </w:r>
      <w:r>
        <w:t xml:space="preserve"> </w:t>
      </w:r>
      <w:proofErr w:type="gramStart"/>
      <w:r>
        <w:rPr>
          <w:lang w:val="en-US"/>
        </w:rPr>
        <w:t>Hodgson, 82.</w:t>
      </w:r>
      <w:proofErr w:type="gramEnd"/>
    </w:p>
  </w:footnote>
  <w:footnote w:id="22">
    <w:p w:rsidR="00FB2D18" w:rsidRPr="00214294" w:rsidRDefault="00FB2D18" w:rsidP="00FB2D18">
      <w:pPr>
        <w:pStyle w:val="FootnoteText"/>
        <w:rPr>
          <w:lang w:val="en-US"/>
        </w:rPr>
      </w:pPr>
      <w:r>
        <w:rPr>
          <w:rStyle w:val="FootnoteReference"/>
        </w:rPr>
        <w:footnoteRef/>
      </w:r>
      <w:r>
        <w:t xml:space="preserve"> </w:t>
      </w:r>
      <w:proofErr w:type="spellStart"/>
      <w:proofErr w:type="gramStart"/>
      <w:r>
        <w:rPr>
          <w:lang w:val="en-US"/>
        </w:rPr>
        <w:t>Freire</w:t>
      </w:r>
      <w:proofErr w:type="spellEnd"/>
      <w:r>
        <w:rPr>
          <w:lang w:val="en-US"/>
        </w:rPr>
        <w:t>, 62.</w:t>
      </w:r>
      <w:proofErr w:type="gramEnd"/>
    </w:p>
  </w:footnote>
  <w:footnote w:id="23">
    <w:p w:rsidR="00FB2D18" w:rsidRPr="00607C73" w:rsidRDefault="00FB2D18" w:rsidP="00FB2D18">
      <w:pPr>
        <w:pStyle w:val="FootnoteText"/>
        <w:rPr>
          <w:lang w:val="en-US"/>
        </w:rPr>
      </w:pPr>
      <w:r>
        <w:rPr>
          <w:rStyle w:val="FootnoteReference"/>
        </w:rPr>
        <w:footnoteRef/>
      </w:r>
      <w:r>
        <w:t xml:space="preserve"> </w:t>
      </w:r>
      <w:proofErr w:type="gramStart"/>
      <w:r>
        <w:rPr>
          <w:lang w:val="en-US"/>
        </w:rPr>
        <w:t>Ibid, 60, 67.</w:t>
      </w:r>
      <w:proofErr w:type="gramEnd"/>
    </w:p>
  </w:footnote>
  <w:footnote w:id="24">
    <w:p w:rsidR="00FB2D18" w:rsidRPr="00607C73" w:rsidRDefault="00FB2D18" w:rsidP="00FB2D18">
      <w:pPr>
        <w:pStyle w:val="FootnoteText"/>
        <w:rPr>
          <w:lang w:val="en-US"/>
        </w:rPr>
      </w:pPr>
      <w:r>
        <w:rPr>
          <w:rStyle w:val="FootnoteReference"/>
        </w:rPr>
        <w:footnoteRef/>
      </w:r>
      <w:r>
        <w:t xml:space="preserve"> </w:t>
      </w:r>
      <w:proofErr w:type="gramStart"/>
      <w:r>
        <w:rPr>
          <w:lang w:val="en-US"/>
        </w:rPr>
        <w:t>Ibid, 61.</w:t>
      </w:r>
      <w:proofErr w:type="gramEnd"/>
    </w:p>
  </w:footnote>
  <w:footnote w:id="25">
    <w:p w:rsidR="00FB2D18" w:rsidRPr="00CD0B25" w:rsidRDefault="00FB2D18" w:rsidP="00FB2D18">
      <w:pPr>
        <w:pStyle w:val="FootnoteText"/>
        <w:rPr>
          <w:lang w:val="en-US"/>
        </w:rPr>
      </w:pPr>
      <w:r>
        <w:rPr>
          <w:rStyle w:val="FootnoteReference"/>
        </w:rPr>
        <w:footnoteRef/>
      </w:r>
      <w:r>
        <w:t xml:space="preserve"> </w:t>
      </w:r>
      <w:proofErr w:type="gramStart"/>
      <w:r>
        <w:rPr>
          <w:lang w:val="en-US"/>
        </w:rPr>
        <w:t>Ibid, 64.</w:t>
      </w:r>
      <w:proofErr w:type="gramEnd"/>
    </w:p>
  </w:footnote>
  <w:footnote w:id="26">
    <w:p w:rsidR="00FB2D18" w:rsidRPr="00C6383A" w:rsidRDefault="00FB2D18" w:rsidP="00FB2D18">
      <w:pPr>
        <w:pStyle w:val="FootnoteText"/>
        <w:rPr>
          <w:lang w:val="en-US"/>
        </w:rPr>
      </w:pPr>
      <w:r>
        <w:rPr>
          <w:rStyle w:val="FootnoteReference"/>
        </w:rPr>
        <w:footnoteRef/>
      </w:r>
      <w:r>
        <w:t xml:space="preserve"> </w:t>
      </w:r>
      <w:proofErr w:type="gramStart"/>
      <w:r>
        <w:rPr>
          <w:lang w:val="en-US"/>
        </w:rPr>
        <w:t>Ibid, 65.</w:t>
      </w:r>
      <w:proofErr w:type="gramEnd"/>
    </w:p>
  </w:footnote>
  <w:footnote w:id="27">
    <w:p w:rsidR="00FB2D18" w:rsidRPr="00E41EE6" w:rsidRDefault="00FB2D18" w:rsidP="00FB2D18">
      <w:pPr>
        <w:pStyle w:val="FootnoteText"/>
        <w:rPr>
          <w:lang w:val="en-US"/>
        </w:rPr>
      </w:pPr>
      <w:r>
        <w:rPr>
          <w:rStyle w:val="FootnoteReference"/>
        </w:rPr>
        <w:footnoteRef/>
      </w:r>
      <w:r>
        <w:t xml:space="preserve"> </w:t>
      </w:r>
      <w:proofErr w:type="gramStart"/>
      <w:r>
        <w:rPr>
          <w:lang w:val="en-US"/>
        </w:rPr>
        <w:t>Ibid, 66.</w:t>
      </w:r>
      <w:proofErr w:type="gramEnd"/>
    </w:p>
  </w:footnote>
  <w:footnote w:id="28">
    <w:p w:rsidR="00FB2D18" w:rsidRPr="009E7C4E" w:rsidRDefault="00FB2D18" w:rsidP="00FB2D18">
      <w:pPr>
        <w:pStyle w:val="FootnoteText"/>
        <w:rPr>
          <w:lang w:val="en-US"/>
        </w:rPr>
      </w:pPr>
      <w:r>
        <w:rPr>
          <w:rStyle w:val="FootnoteReference"/>
        </w:rPr>
        <w:footnoteRef/>
      </w:r>
      <w:r>
        <w:t xml:space="preserve"> </w:t>
      </w:r>
      <w:r>
        <w:rPr>
          <w:lang w:val="en-US"/>
        </w:rPr>
        <w:t>Ibid, 149-150.</w:t>
      </w:r>
    </w:p>
  </w:footnote>
  <w:footnote w:id="29">
    <w:p w:rsidR="00FB2D18" w:rsidRPr="00C8580B" w:rsidRDefault="00FB2D18" w:rsidP="00FB2D18">
      <w:pPr>
        <w:pStyle w:val="FootnoteText"/>
        <w:rPr>
          <w:lang w:val="en-US"/>
        </w:rPr>
      </w:pPr>
      <w:r>
        <w:rPr>
          <w:rStyle w:val="FootnoteReference"/>
        </w:rPr>
        <w:footnoteRef/>
      </w:r>
      <w:r>
        <w:t xml:space="preserve"> </w:t>
      </w:r>
      <w:r>
        <w:rPr>
          <w:lang w:val="en-US"/>
        </w:rPr>
        <w:t>Ibid, 69-70.</w:t>
      </w:r>
    </w:p>
  </w:footnote>
  <w:footnote w:id="30">
    <w:p w:rsidR="00FB2D18" w:rsidRPr="00E41EE6" w:rsidRDefault="00FB2D18" w:rsidP="00FB2D18">
      <w:pPr>
        <w:pStyle w:val="FootnoteText"/>
        <w:rPr>
          <w:lang w:val="en-US"/>
        </w:rPr>
      </w:pPr>
      <w:r>
        <w:rPr>
          <w:rStyle w:val="FootnoteReference"/>
        </w:rPr>
        <w:footnoteRef/>
      </w:r>
      <w:r>
        <w:t xml:space="preserve"> </w:t>
      </w:r>
      <w:proofErr w:type="gramStart"/>
      <w:r>
        <w:rPr>
          <w:lang w:val="en-US"/>
        </w:rPr>
        <w:t>Ibid, 68.</w:t>
      </w:r>
      <w:proofErr w:type="gramEnd"/>
    </w:p>
  </w:footnote>
  <w:footnote w:id="31">
    <w:p w:rsidR="00FB2D18" w:rsidRPr="00BF73F9" w:rsidRDefault="00FB2D18" w:rsidP="00FB2D18">
      <w:pPr>
        <w:pStyle w:val="FootnoteText"/>
        <w:rPr>
          <w:lang w:val="en-US"/>
        </w:rPr>
      </w:pPr>
      <w:r>
        <w:rPr>
          <w:rStyle w:val="FootnoteReference"/>
        </w:rPr>
        <w:footnoteRef/>
      </w:r>
      <w:r>
        <w:t xml:space="preserve"> </w:t>
      </w:r>
      <w:proofErr w:type="gramStart"/>
      <w:r>
        <w:rPr>
          <w:lang w:val="en-US"/>
        </w:rPr>
        <w:t xml:space="preserve">Stephen D. Brookfield, </w:t>
      </w:r>
      <w:r>
        <w:rPr>
          <w:i/>
          <w:lang w:val="en-US"/>
        </w:rPr>
        <w:t>Becoming a Critically Reflective Teacher</w:t>
      </w:r>
      <w:r>
        <w:rPr>
          <w:lang w:val="en-US"/>
        </w:rPr>
        <w:t xml:space="preserve"> (San </w:t>
      </w:r>
      <w:proofErr w:type="spellStart"/>
      <w:r>
        <w:rPr>
          <w:lang w:val="en-US"/>
        </w:rPr>
        <w:t>Fransisco</w:t>
      </w:r>
      <w:proofErr w:type="spellEnd"/>
      <w:r>
        <w:rPr>
          <w:lang w:val="en-US"/>
        </w:rPr>
        <w:t xml:space="preserve">: </w:t>
      </w:r>
      <w:proofErr w:type="spellStart"/>
      <w:r>
        <w:rPr>
          <w:lang w:val="en-US"/>
        </w:rPr>
        <w:t>Jossey</w:t>
      </w:r>
      <w:proofErr w:type="spellEnd"/>
      <w:r>
        <w:rPr>
          <w:lang w:val="en-US"/>
        </w:rPr>
        <w:t>-Bass, 1995), 44-45.</w:t>
      </w:r>
      <w:proofErr w:type="gramEnd"/>
    </w:p>
  </w:footnote>
  <w:footnote w:id="32">
    <w:p w:rsidR="00FB2D18" w:rsidRPr="00C8580B" w:rsidRDefault="00FB2D18" w:rsidP="00FB2D18">
      <w:pPr>
        <w:pStyle w:val="FootnoteText"/>
        <w:rPr>
          <w:lang w:val="en-US"/>
        </w:rPr>
      </w:pPr>
      <w:r>
        <w:rPr>
          <w:rStyle w:val="FootnoteReference"/>
        </w:rPr>
        <w:footnoteRef/>
      </w:r>
      <w:r>
        <w:t xml:space="preserve"> </w:t>
      </w:r>
      <w:proofErr w:type="spellStart"/>
      <w:proofErr w:type="gramStart"/>
      <w:r>
        <w:rPr>
          <w:lang w:val="en-US"/>
        </w:rPr>
        <w:t>Freire</w:t>
      </w:r>
      <w:proofErr w:type="spellEnd"/>
      <w:r>
        <w:rPr>
          <w:lang w:val="en-US"/>
        </w:rPr>
        <w:t>, 70.</w:t>
      </w:r>
      <w:proofErr w:type="gramEnd"/>
    </w:p>
  </w:footnote>
  <w:footnote w:id="33">
    <w:p w:rsidR="00FB2D18" w:rsidRPr="004854C7" w:rsidRDefault="00FB2D18" w:rsidP="00FB2D18">
      <w:pPr>
        <w:pStyle w:val="FootnoteText"/>
        <w:rPr>
          <w:lang w:val="en-US"/>
        </w:rPr>
      </w:pPr>
      <w:r>
        <w:rPr>
          <w:rStyle w:val="FootnoteReference"/>
        </w:rPr>
        <w:footnoteRef/>
      </w:r>
      <w:r>
        <w:t xml:space="preserve"> </w:t>
      </w:r>
      <w:proofErr w:type="gramStart"/>
      <w:r>
        <w:rPr>
          <w:lang w:val="en-US"/>
        </w:rPr>
        <w:t>Ibid, 89 (emphasis in original).</w:t>
      </w:r>
      <w:proofErr w:type="gramEnd"/>
    </w:p>
  </w:footnote>
  <w:footnote w:id="34">
    <w:p w:rsidR="00FB2D18" w:rsidRPr="00CD5CE7" w:rsidRDefault="00FB2D18" w:rsidP="00FB2D18">
      <w:pPr>
        <w:pStyle w:val="FootnoteText"/>
        <w:rPr>
          <w:lang w:val="en-US"/>
        </w:rPr>
      </w:pPr>
      <w:r>
        <w:rPr>
          <w:rStyle w:val="FootnoteReference"/>
        </w:rPr>
        <w:footnoteRef/>
      </w:r>
      <w:r>
        <w:t xml:space="preserve"> </w:t>
      </w:r>
      <w:r>
        <w:rPr>
          <w:lang w:val="en-US"/>
        </w:rPr>
        <w:t>Ibid.</w:t>
      </w:r>
    </w:p>
  </w:footnote>
  <w:footnote w:id="35">
    <w:p w:rsidR="00FB2D18" w:rsidRPr="00CD5CE7" w:rsidRDefault="00FB2D18" w:rsidP="00FB2D18">
      <w:pPr>
        <w:pStyle w:val="FootnoteText"/>
        <w:rPr>
          <w:lang w:val="en-US"/>
        </w:rPr>
      </w:pPr>
      <w:r>
        <w:rPr>
          <w:rStyle w:val="FootnoteReference"/>
        </w:rPr>
        <w:footnoteRef/>
      </w:r>
      <w:r>
        <w:t xml:space="preserve"> </w:t>
      </w:r>
      <w:proofErr w:type="gramStart"/>
      <w:r>
        <w:rPr>
          <w:lang w:val="en-US"/>
        </w:rPr>
        <w:t>Ibid, 71.</w:t>
      </w:r>
      <w:proofErr w:type="gramEnd"/>
    </w:p>
  </w:footnote>
  <w:footnote w:id="36">
    <w:p w:rsidR="00FB2D18" w:rsidRPr="00BF73F9" w:rsidRDefault="00FB2D18" w:rsidP="00FB2D18">
      <w:pPr>
        <w:pStyle w:val="FootnoteText"/>
        <w:rPr>
          <w:lang w:val="en-US"/>
        </w:rPr>
      </w:pPr>
      <w:r>
        <w:rPr>
          <w:rStyle w:val="FootnoteReference"/>
        </w:rPr>
        <w:footnoteRef/>
      </w:r>
      <w:r>
        <w:t xml:space="preserve"> </w:t>
      </w:r>
      <w:proofErr w:type="gramStart"/>
      <w:r>
        <w:rPr>
          <w:lang w:val="en-US"/>
        </w:rPr>
        <w:t>Ibid, 70.</w:t>
      </w:r>
      <w:proofErr w:type="gramEnd"/>
    </w:p>
  </w:footnote>
  <w:footnote w:id="37">
    <w:p w:rsidR="00FB2D18" w:rsidRPr="004529C2" w:rsidRDefault="00FB2D18" w:rsidP="00FB2D18">
      <w:pPr>
        <w:pStyle w:val="FootnoteText"/>
        <w:rPr>
          <w:lang w:val="en-US"/>
        </w:rPr>
      </w:pPr>
      <w:r>
        <w:rPr>
          <w:rStyle w:val="FootnoteReference"/>
        </w:rPr>
        <w:footnoteRef/>
      </w:r>
      <w:r>
        <w:t xml:space="preserve"> </w:t>
      </w:r>
      <w:proofErr w:type="gramStart"/>
      <w:r>
        <w:rPr>
          <w:lang w:val="en-US"/>
        </w:rPr>
        <w:t>Ibid, 72.</w:t>
      </w:r>
      <w:proofErr w:type="gramEnd"/>
    </w:p>
  </w:footnote>
  <w:footnote w:id="38">
    <w:p w:rsidR="00FB2D18" w:rsidRPr="0039288A" w:rsidRDefault="00FB2D18" w:rsidP="00FB2D18">
      <w:pPr>
        <w:pStyle w:val="FootnoteText"/>
        <w:rPr>
          <w:lang w:val="en-US"/>
        </w:rPr>
      </w:pPr>
      <w:r>
        <w:rPr>
          <w:rStyle w:val="FootnoteReference"/>
        </w:rPr>
        <w:footnoteRef/>
      </w:r>
      <w:r>
        <w:t xml:space="preserve"> </w:t>
      </w:r>
      <w:proofErr w:type="gramStart"/>
      <w:r>
        <w:rPr>
          <w:lang w:val="en-US"/>
        </w:rPr>
        <w:t>Ibid, 73.</w:t>
      </w:r>
      <w:proofErr w:type="gramEnd"/>
    </w:p>
  </w:footnote>
  <w:footnote w:id="39">
    <w:p w:rsidR="00FB2D18" w:rsidRPr="00702857" w:rsidRDefault="00FB2D18" w:rsidP="00FB2D18">
      <w:pPr>
        <w:pStyle w:val="FootnoteText"/>
        <w:rPr>
          <w:lang w:val="en-US"/>
        </w:rPr>
      </w:pPr>
      <w:r>
        <w:rPr>
          <w:rStyle w:val="FootnoteReference"/>
        </w:rPr>
        <w:footnoteRef/>
      </w:r>
      <w:r>
        <w:t xml:space="preserve"> </w:t>
      </w:r>
      <w:r>
        <w:rPr>
          <w:lang w:val="en-US"/>
        </w:rPr>
        <w:t xml:space="preserve">Parker J. Palmer, </w:t>
      </w:r>
      <w:r>
        <w:rPr>
          <w:i/>
          <w:lang w:val="en-US"/>
        </w:rPr>
        <w:t xml:space="preserve">To Know as </w:t>
      </w:r>
      <w:proofErr w:type="gramStart"/>
      <w:r>
        <w:rPr>
          <w:i/>
          <w:lang w:val="en-US"/>
        </w:rPr>
        <w:t>We</w:t>
      </w:r>
      <w:proofErr w:type="gramEnd"/>
      <w:r>
        <w:rPr>
          <w:i/>
          <w:lang w:val="en-US"/>
        </w:rPr>
        <w:t xml:space="preserve"> are Known: Education as a Spiritual Journey</w:t>
      </w:r>
      <w:r>
        <w:rPr>
          <w:lang w:val="en-US"/>
        </w:rPr>
        <w:t xml:space="preserve"> (New York: HarperCollins, 1993), 10.</w:t>
      </w:r>
    </w:p>
  </w:footnote>
  <w:footnote w:id="40">
    <w:p w:rsidR="00FB2D18" w:rsidRPr="00130A2D" w:rsidRDefault="00FB2D18" w:rsidP="00FB2D18">
      <w:pPr>
        <w:pStyle w:val="FootnoteText"/>
        <w:rPr>
          <w:lang w:val="en-US"/>
        </w:rPr>
      </w:pPr>
      <w:r>
        <w:rPr>
          <w:rStyle w:val="FootnoteReference"/>
        </w:rPr>
        <w:footnoteRef/>
      </w:r>
      <w:r>
        <w:t xml:space="preserve"> </w:t>
      </w:r>
      <w:proofErr w:type="gramStart"/>
      <w:r>
        <w:rPr>
          <w:lang w:val="en-US"/>
        </w:rPr>
        <w:t>Ibid, 7.</w:t>
      </w:r>
      <w:proofErr w:type="gramEnd"/>
    </w:p>
  </w:footnote>
  <w:footnote w:id="41">
    <w:p w:rsidR="00FB2D18" w:rsidRPr="00E96EA1" w:rsidRDefault="00FB2D18" w:rsidP="00FB2D18">
      <w:pPr>
        <w:pStyle w:val="FootnoteText"/>
        <w:rPr>
          <w:lang w:val="en-US"/>
        </w:rPr>
      </w:pPr>
      <w:r>
        <w:rPr>
          <w:rStyle w:val="FootnoteReference"/>
        </w:rPr>
        <w:footnoteRef/>
      </w:r>
      <w:r>
        <w:t xml:space="preserve"> </w:t>
      </w:r>
      <w:proofErr w:type="gramStart"/>
      <w:r>
        <w:rPr>
          <w:lang w:val="en-US"/>
        </w:rPr>
        <w:t>Ibid, 14.</w:t>
      </w:r>
      <w:proofErr w:type="gramEnd"/>
    </w:p>
  </w:footnote>
  <w:footnote w:id="42">
    <w:p w:rsidR="00FB2D18" w:rsidRPr="00335539" w:rsidRDefault="00FB2D18" w:rsidP="00FB2D18">
      <w:pPr>
        <w:pStyle w:val="FootnoteText"/>
        <w:rPr>
          <w:lang w:val="en-US"/>
        </w:rPr>
      </w:pPr>
      <w:r>
        <w:rPr>
          <w:rStyle w:val="FootnoteReference"/>
        </w:rPr>
        <w:footnoteRef/>
      </w:r>
      <w:r>
        <w:t xml:space="preserve"> </w:t>
      </w:r>
      <w:proofErr w:type="gramStart"/>
      <w:r>
        <w:rPr>
          <w:lang w:val="en-US"/>
        </w:rPr>
        <w:t>Ibid, 47.</w:t>
      </w:r>
      <w:proofErr w:type="gramEnd"/>
    </w:p>
  </w:footnote>
  <w:footnote w:id="43">
    <w:p w:rsidR="00FB2D18" w:rsidRPr="00C232B2" w:rsidRDefault="00FB2D18" w:rsidP="00FB2D18">
      <w:pPr>
        <w:pStyle w:val="FootnoteText"/>
        <w:rPr>
          <w:lang w:val="en-US"/>
        </w:rPr>
      </w:pPr>
      <w:r>
        <w:rPr>
          <w:rStyle w:val="FootnoteReference"/>
        </w:rPr>
        <w:footnoteRef/>
      </w:r>
      <w:r>
        <w:t xml:space="preserve"> </w:t>
      </w:r>
      <w:r>
        <w:rPr>
          <w:lang w:val="en-US"/>
        </w:rPr>
        <w:t>Ibid, 48-50.</w:t>
      </w:r>
    </w:p>
  </w:footnote>
  <w:footnote w:id="44">
    <w:p w:rsidR="00FB2D18" w:rsidRPr="0061535C" w:rsidRDefault="00FB2D18" w:rsidP="00FB2D18">
      <w:pPr>
        <w:pStyle w:val="FootnoteText"/>
        <w:rPr>
          <w:lang w:val="en-US"/>
        </w:rPr>
      </w:pPr>
      <w:r>
        <w:rPr>
          <w:rStyle w:val="FootnoteReference"/>
        </w:rPr>
        <w:footnoteRef/>
      </w:r>
      <w:r>
        <w:t xml:space="preserve"> </w:t>
      </w:r>
      <w:proofErr w:type="gramStart"/>
      <w:r>
        <w:rPr>
          <w:lang w:val="en-US"/>
        </w:rPr>
        <w:t>Ibid, 59.</w:t>
      </w:r>
      <w:proofErr w:type="gramEnd"/>
    </w:p>
  </w:footnote>
  <w:footnote w:id="45">
    <w:p w:rsidR="00FB2D18" w:rsidRPr="00852CD8" w:rsidRDefault="00FB2D18" w:rsidP="00FB2D18">
      <w:pPr>
        <w:pStyle w:val="FootnoteText"/>
        <w:rPr>
          <w:lang w:val="en-US"/>
        </w:rPr>
      </w:pPr>
      <w:r>
        <w:rPr>
          <w:rStyle w:val="FootnoteReference"/>
        </w:rPr>
        <w:footnoteRef/>
      </w:r>
      <w:r>
        <w:t xml:space="preserve"> </w:t>
      </w:r>
      <w:proofErr w:type="gramStart"/>
      <w:r>
        <w:rPr>
          <w:lang w:val="en-US"/>
        </w:rPr>
        <w:t>Ibid, 32.</w:t>
      </w:r>
      <w:proofErr w:type="gramEnd"/>
    </w:p>
  </w:footnote>
  <w:footnote w:id="46">
    <w:p w:rsidR="00FB2D18" w:rsidRPr="00D344C7" w:rsidRDefault="00FB2D18" w:rsidP="00FB2D18">
      <w:pPr>
        <w:pStyle w:val="FootnoteText"/>
        <w:rPr>
          <w:lang w:val="en-US"/>
        </w:rPr>
      </w:pPr>
      <w:r>
        <w:rPr>
          <w:rStyle w:val="FootnoteReference"/>
        </w:rPr>
        <w:footnoteRef/>
      </w:r>
      <w:r>
        <w:t xml:space="preserve"> </w:t>
      </w:r>
      <w:proofErr w:type="gramStart"/>
      <w:r>
        <w:rPr>
          <w:lang w:val="en-US"/>
        </w:rPr>
        <w:t>Ibid, 57.</w:t>
      </w:r>
      <w:proofErr w:type="gramEnd"/>
    </w:p>
  </w:footnote>
  <w:footnote w:id="47">
    <w:p w:rsidR="00FB2D18" w:rsidRPr="0000611B" w:rsidRDefault="00FB2D18" w:rsidP="00FB2D18">
      <w:pPr>
        <w:pStyle w:val="FootnoteText"/>
        <w:rPr>
          <w:lang w:val="en-US"/>
        </w:rPr>
      </w:pPr>
      <w:r>
        <w:rPr>
          <w:rStyle w:val="FootnoteReference"/>
        </w:rPr>
        <w:footnoteRef/>
      </w:r>
      <w:r>
        <w:t xml:space="preserve"> </w:t>
      </w:r>
      <w:proofErr w:type="gramStart"/>
      <w:r>
        <w:rPr>
          <w:lang w:val="en-US"/>
        </w:rPr>
        <w:t>Ibid, 62.</w:t>
      </w:r>
      <w:proofErr w:type="gramEnd"/>
    </w:p>
  </w:footnote>
  <w:footnote w:id="48">
    <w:p w:rsidR="00FB2D18" w:rsidRPr="0061535C" w:rsidRDefault="00FB2D18" w:rsidP="00FB2D18">
      <w:pPr>
        <w:pStyle w:val="FootnoteText"/>
        <w:rPr>
          <w:lang w:val="en-US"/>
        </w:rPr>
      </w:pPr>
      <w:r>
        <w:rPr>
          <w:rStyle w:val="FootnoteReference"/>
        </w:rPr>
        <w:footnoteRef/>
      </w:r>
      <w:r>
        <w:t xml:space="preserve"> </w:t>
      </w:r>
      <w:proofErr w:type="gramStart"/>
      <w:r>
        <w:rPr>
          <w:lang w:val="en-US"/>
        </w:rPr>
        <w:t>Ibid, 59.</w:t>
      </w:r>
      <w:proofErr w:type="gramEnd"/>
    </w:p>
  </w:footnote>
  <w:footnote w:id="49">
    <w:p w:rsidR="00FB2D18" w:rsidRPr="0041038C" w:rsidRDefault="00FB2D18" w:rsidP="00FB2D18">
      <w:pPr>
        <w:pStyle w:val="FootnoteText"/>
        <w:rPr>
          <w:lang w:val="en-US"/>
        </w:rPr>
      </w:pPr>
      <w:r>
        <w:rPr>
          <w:rStyle w:val="FootnoteReference"/>
        </w:rPr>
        <w:footnoteRef/>
      </w:r>
      <w:r>
        <w:t xml:space="preserve"> </w:t>
      </w:r>
      <w:proofErr w:type="gramStart"/>
      <w:r>
        <w:rPr>
          <w:lang w:val="en-US"/>
        </w:rPr>
        <w:t>Ibid, 31.</w:t>
      </w:r>
      <w:proofErr w:type="gramEnd"/>
    </w:p>
  </w:footnote>
  <w:footnote w:id="50">
    <w:p w:rsidR="00FB2D18" w:rsidRPr="00C0763F" w:rsidRDefault="00FB2D18" w:rsidP="00FB2D18">
      <w:pPr>
        <w:pStyle w:val="FootnoteText"/>
        <w:rPr>
          <w:lang w:val="en-US"/>
        </w:rPr>
      </w:pPr>
      <w:r>
        <w:rPr>
          <w:rStyle w:val="FootnoteReference"/>
        </w:rPr>
        <w:footnoteRef/>
      </w:r>
      <w:r>
        <w:t xml:space="preserve"> </w:t>
      </w:r>
      <w:r>
        <w:rPr>
          <w:lang w:val="en-US"/>
        </w:rPr>
        <w:t>Ibid, 15-16.</w:t>
      </w:r>
    </w:p>
  </w:footnote>
  <w:footnote w:id="51">
    <w:p w:rsidR="00FB2D18" w:rsidRPr="00F00975" w:rsidRDefault="00FB2D18" w:rsidP="00FB2D18">
      <w:pPr>
        <w:pStyle w:val="FootnoteText"/>
        <w:rPr>
          <w:lang w:val="en-US"/>
        </w:rPr>
      </w:pPr>
      <w:r>
        <w:rPr>
          <w:rStyle w:val="FootnoteReference"/>
        </w:rPr>
        <w:footnoteRef/>
      </w:r>
      <w:r>
        <w:t xml:space="preserve"> </w:t>
      </w:r>
      <w:proofErr w:type="gramStart"/>
      <w:r>
        <w:rPr>
          <w:lang w:val="en-US"/>
        </w:rPr>
        <w:t>Ibid, 56.</w:t>
      </w:r>
      <w:proofErr w:type="gramEnd"/>
    </w:p>
  </w:footnote>
  <w:footnote w:id="52">
    <w:p w:rsidR="00FB2D18" w:rsidRPr="00F00975" w:rsidRDefault="00FB2D18" w:rsidP="00FB2D18">
      <w:pPr>
        <w:pStyle w:val="FootnoteText"/>
        <w:rPr>
          <w:lang w:val="en-US"/>
        </w:rPr>
      </w:pPr>
      <w:r>
        <w:rPr>
          <w:rStyle w:val="FootnoteReference"/>
        </w:rPr>
        <w:footnoteRef/>
      </w:r>
      <w:r>
        <w:t xml:space="preserve"> </w:t>
      </w:r>
      <w:proofErr w:type="gramStart"/>
      <w:r>
        <w:rPr>
          <w:lang w:val="en-US"/>
        </w:rPr>
        <w:t>Ibid, 57.</w:t>
      </w:r>
      <w:proofErr w:type="gramEnd"/>
    </w:p>
  </w:footnote>
  <w:footnote w:id="53">
    <w:p w:rsidR="00FB2D18" w:rsidRPr="00C40E7D" w:rsidRDefault="00FB2D18" w:rsidP="00FB2D18">
      <w:pPr>
        <w:pStyle w:val="FootnoteText"/>
        <w:rPr>
          <w:lang w:val="en-US"/>
        </w:rPr>
      </w:pPr>
      <w:r>
        <w:rPr>
          <w:rStyle w:val="FootnoteReference"/>
        </w:rPr>
        <w:footnoteRef/>
      </w:r>
      <w:r>
        <w:t xml:space="preserve"> </w:t>
      </w:r>
      <w:proofErr w:type="gramStart"/>
      <w:r>
        <w:rPr>
          <w:lang w:val="en-US"/>
        </w:rPr>
        <w:t>Ibid, 33ff.</w:t>
      </w:r>
      <w:proofErr w:type="gramEnd"/>
    </w:p>
  </w:footnote>
  <w:footnote w:id="54">
    <w:p w:rsidR="00FB2D18" w:rsidRPr="00C40E7D" w:rsidRDefault="00FB2D18" w:rsidP="00FB2D18">
      <w:pPr>
        <w:pStyle w:val="FootnoteText"/>
        <w:rPr>
          <w:lang w:val="en-US"/>
        </w:rPr>
      </w:pPr>
      <w:r>
        <w:rPr>
          <w:rStyle w:val="FootnoteReference"/>
        </w:rPr>
        <w:footnoteRef/>
      </w:r>
      <w:r>
        <w:t xml:space="preserve"> </w:t>
      </w:r>
      <w:proofErr w:type="gramStart"/>
      <w:r>
        <w:rPr>
          <w:lang w:val="en-US"/>
        </w:rPr>
        <w:t>Ibid, 27.</w:t>
      </w:r>
      <w:proofErr w:type="gramEnd"/>
    </w:p>
  </w:footnote>
  <w:footnote w:id="55">
    <w:p w:rsidR="00FB2D18" w:rsidRPr="00A34D84" w:rsidRDefault="00FB2D18" w:rsidP="00FB2D18">
      <w:pPr>
        <w:pStyle w:val="FootnoteText"/>
        <w:rPr>
          <w:lang w:val="en-US"/>
        </w:rPr>
      </w:pPr>
      <w:r>
        <w:rPr>
          <w:rStyle w:val="FootnoteReference"/>
        </w:rPr>
        <w:footnoteRef/>
      </w:r>
      <w:r>
        <w:t xml:space="preserve"> </w:t>
      </w:r>
      <w:r>
        <w:rPr>
          <w:lang w:val="en-US"/>
        </w:rPr>
        <w:t>Ibid, 6-8.</w:t>
      </w:r>
    </w:p>
  </w:footnote>
  <w:footnote w:id="56">
    <w:p w:rsidR="00FB2D18" w:rsidRPr="00C70745" w:rsidRDefault="00FB2D18" w:rsidP="00FB2D18">
      <w:pPr>
        <w:pStyle w:val="FootnoteText"/>
        <w:rPr>
          <w:lang w:val="en-US"/>
        </w:rPr>
      </w:pPr>
      <w:r>
        <w:rPr>
          <w:rStyle w:val="FootnoteReference"/>
        </w:rPr>
        <w:footnoteRef/>
      </w:r>
      <w:r>
        <w:t xml:space="preserve"> </w:t>
      </w:r>
      <w:proofErr w:type="gramStart"/>
      <w:r>
        <w:rPr>
          <w:lang w:val="en-US"/>
        </w:rPr>
        <w:t>Ibid, 29.</w:t>
      </w:r>
      <w:proofErr w:type="gramEnd"/>
    </w:p>
  </w:footnote>
  <w:footnote w:id="57">
    <w:p w:rsidR="00FB2D18" w:rsidRPr="00275F21" w:rsidRDefault="00FB2D18" w:rsidP="00FB2D18">
      <w:pPr>
        <w:pStyle w:val="FootnoteText"/>
        <w:rPr>
          <w:lang w:val="en-US"/>
        </w:rPr>
      </w:pPr>
      <w:r>
        <w:rPr>
          <w:rStyle w:val="FootnoteReference"/>
        </w:rPr>
        <w:footnoteRef/>
      </w:r>
      <w:r>
        <w:t xml:space="preserve"> </w:t>
      </w:r>
      <w:proofErr w:type="gramStart"/>
      <w:r>
        <w:rPr>
          <w:lang w:val="en-US"/>
        </w:rPr>
        <w:t>Ibid, 33.</w:t>
      </w:r>
      <w:proofErr w:type="gramEnd"/>
    </w:p>
  </w:footnote>
  <w:footnote w:id="58">
    <w:p w:rsidR="00FB2D18" w:rsidRPr="00021F2D" w:rsidRDefault="00FB2D18" w:rsidP="00FB2D18">
      <w:pPr>
        <w:pStyle w:val="FootnoteText"/>
        <w:rPr>
          <w:lang w:val="en-US"/>
        </w:rPr>
      </w:pPr>
      <w:r>
        <w:rPr>
          <w:rStyle w:val="FootnoteReference"/>
        </w:rPr>
        <w:footnoteRef/>
      </w:r>
      <w:r>
        <w:t xml:space="preserve"> </w:t>
      </w:r>
      <w:r>
        <w:rPr>
          <w:lang w:val="en-US"/>
        </w:rPr>
        <w:t>Ibid, 29-30.</w:t>
      </w:r>
    </w:p>
  </w:footnote>
  <w:footnote w:id="59">
    <w:p w:rsidR="00FB2D18" w:rsidRPr="00B77F4F" w:rsidRDefault="00FB2D18" w:rsidP="00FB2D18">
      <w:pPr>
        <w:pStyle w:val="FootnoteText"/>
        <w:rPr>
          <w:lang w:val="en-US"/>
        </w:rPr>
      </w:pPr>
      <w:r>
        <w:rPr>
          <w:rStyle w:val="FootnoteReference"/>
        </w:rPr>
        <w:footnoteRef/>
      </w:r>
      <w:r>
        <w:t xml:space="preserve"> </w:t>
      </w:r>
      <w:proofErr w:type="gramStart"/>
      <w:r>
        <w:rPr>
          <w:lang w:val="en-US"/>
        </w:rPr>
        <w:t>Ibid, 39.</w:t>
      </w:r>
      <w:proofErr w:type="gramEnd"/>
    </w:p>
  </w:footnote>
  <w:footnote w:id="60">
    <w:p w:rsidR="00FB2D18" w:rsidRPr="00D7062B" w:rsidRDefault="00FB2D18" w:rsidP="00FB2D18">
      <w:pPr>
        <w:pStyle w:val="FootnoteText"/>
        <w:rPr>
          <w:lang w:val="en-US"/>
        </w:rPr>
      </w:pPr>
      <w:r>
        <w:rPr>
          <w:rStyle w:val="FootnoteReference"/>
        </w:rPr>
        <w:footnoteRef/>
      </w:r>
      <w:r>
        <w:t xml:space="preserve"> </w:t>
      </w:r>
      <w:proofErr w:type="gramStart"/>
      <w:r>
        <w:rPr>
          <w:lang w:val="en-US"/>
        </w:rPr>
        <w:t>Ibid, 40.</w:t>
      </w:r>
      <w:proofErr w:type="gramEnd"/>
    </w:p>
  </w:footnote>
  <w:footnote w:id="61">
    <w:p w:rsidR="00FB2D18" w:rsidRPr="00D7062B" w:rsidRDefault="00FB2D18" w:rsidP="00FB2D18">
      <w:pPr>
        <w:pStyle w:val="FootnoteText"/>
        <w:rPr>
          <w:lang w:val="en-US"/>
        </w:rPr>
      </w:pPr>
      <w:r>
        <w:rPr>
          <w:rStyle w:val="FootnoteReference"/>
        </w:rPr>
        <w:footnoteRef/>
      </w:r>
      <w:r>
        <w:t xml:space="preserve"> </w:t>
      </w:r>
      <w:proofErr w:type="gramStart"/>
      <w:r>
        <w:rPr>
          <w:lang w:val="en-US"/>
        </w:rPr>
        <w:t>Ibid, xi-xii, 69, 88.</w:t>
      </w:r>
      <w:proofErr w:type="gramEnd"/>
      <w:r>
        <w:rPr>
          <w:lang w:val="en-US"/>
        </w:rPr>
        <w:t xml:space="preserve">  Palmer explained how he refined this definition after discovering the offence many readers took at the imperialistic implications of “obedience.”  He chose instead to say “where the community of truth is practiced,” since, like his original definition of obedience, the terms indicates “a rich and complex network of relationship in which we must both speak and listen, make claims on others, and make ourselves accountable.”  This modified definition, he said, “makes it easier to explore with others the pain of disconnection, and to seek remedies consistent with the nature of education at its best.” (xii)</w:t>
      </w:r>
    </w:p>
  </w:footnote>
  <w:footnote w:id="62">
    <w:p w:rsidR="00FB2D18" w:rsidRPr="00B24829" w:rsidRDefault="00FB2D18" w:rsidP="00FB2D18">
      <w:pPr>
        <w:pStyle w:val="FootnoteText"/>
        <w:rPr>
          <w:lang w:val="en-US"/>
        </w:rPr>
      </w:pPr>
      <w:r>
        <w:rPr>
          <w:rStyle w:val="FootnoteReference"/>
        </w:rPr>
        <w:footnoteRef/>
      </w:r>
      <w:r>
        <w:t xml:space="preserve"> </w:t>
      </w:r>
      <w:proofErr w:type="gramStart"/>
      <w:r>
        <w:rPr>
          <w:lang w:val="en-US"/>
        </w:rPr>
        <w:t>Ibid, 70.</w:t>
      </w:r>
      <w:proofErr w:type="gramEnd"/>
    </w:p>
  </w:footnote>
  <w:footnote w:id="63">
    <w:p w:rsidR="00FB2D18" w:rsidRPr="00980571" w:rsidRDefault="00FB2D18" w:rsidP="00FB2D18">
      <w:pPr>
        <w:pStyle w:val="FootnoteText"/>
        <w:rPr>
          <w:lang w:val="en-US"/>
        </w:rPr>
      </w:pPr>
      <w:r>
        <w:rPr>
          <w:rStyle w:val="FootnoteReference"/>
        </w:rPr>
        <w:footnoteRef/>
      </w:r>
      <w:r>
        <w:t xml:space="preserve"> Ibid, 75-83.</w:t>
      </w:r>
    </w:p>
  </w:footnote>
  <w:footnote w:id="64">
    <w:p w:rsidR="00FB2D18" w:rsidRPr="005D15A2" w:rsidRDefault="00FB2D18" w:rsidP="00FB2D18">
      <w:pPr>
        <w:pStyle w:val="FootnoteText"/>
        <w:rPr>
          <w:lang w:val="en-US"/>
        </w:rPr>
      </w:pPr>
      <w:r>
        <w:rPr>
          <w:rStyle w:val="FootnoteReference"/>
        </w:rPr>
        <w:footnoteRef/>
      </w:r>
      <w:r>
        <w:t xml:space="preserve"> </w:t>
      </w:r>
      <w:r>
        <w:rPr>
          <w:lang w:val="en-US"/>
        </w:rPr>
        <w:t>Ibid, 70-71.</w:t>
      </w:r>
    </w:p>
  </w:footnote>
  <w:footnote w:id="65">
    <w:p w:rsidR="00FB2D18" w:rsidRPr="00C55B2D" w:rsidRDefault="00FB2D18" w:rsidP="00FB2D18">
      <w:pPr>
        <w:pStyle w:val="FootnoteText"/>
        <w:rPr>
          <w:lang w:val="en-US"/>
        </w:rPr>
      </w:pPr>
      <w:r>
        <w:rPr>
          <w:rStyle w:val="FootnoteReference"/>
        </w:rPr>
        <w:footnoteRef/>
      </w:r>
      <w:r>
        <w:t xml:space="preserve"> </w:t>
      </w:r>
      <w:r>
        <w:rPr>
          <w:lang w:val="en-US"/>
        </w:rPr>
        <w:t>Ibid, 72-73.</w:t>
      </w:r>
    </w:p>
  </w:footnote>
  <w:footnote w:id="66">
    <w:p w:rsidR="00FB2D18" w:rsidRPr="00384630" w:rsidRDefault="00FB2D18" w:rsidP="00FB2D18">
      <w:pPr>
        <w:pStyle w:val="FootnoteText"/>
      </w:pPr>
      <w:r>
        <w:rPr>
          <w:rStyle w:val="FootnoteReference"/>
        </w:rPr>
        <w:footnoteRef/>
      </w:r>
      <w:r>
        <w:t xml:space="preserve"> Palmer’s motif of hospitality in education has discussed </w:t>
      </w:r>
      <w:proofErr w:type="spellStart"/>
      <w:r>
        <w:t>practially</w:t>
      </w:r>
      <w:proofErr w:type="spellEnd"/>
      <w:r>
        <w:t xml:space="preserve"> at some length: see, for example, </w:t>
      </w:r>
      <w:r w:rsidRPr="00D2606D">
        <w:t xml:space="preserve">Paul </w:t>
      </w:r>
      <w:proofErr w:type="spellStart"/>
      <w:r w:rsidRPr="00D2606D">
        <w:t>Wadell</w:t>
      </w:r>
      <w:proofErr w:type="spellEnd"/>
      <w:r w:rsidRPr="00D2606D">
        <w:t xml:space="preserve">, </w:t>
      </w:r>
      <w:r>
        <w:t>“Teaching as a Ministry of Hope”,</w:t>
      </w:r>
      <w:r w:rsidRPr="00D2606D">
        <w:t xml:space="preserve"> </w:t>
      </w:r>
      <w:r>
        <w:t>i</w:t>
      </w:r>
      <w:r w:rsidRPr="00D2606D">
        <w:t xml:space="preserve">n </w:t>
      </w:r>
      <w:r w:rsidRPr="00D2606D">
        <w:rPr>
          <w:i/>
          <w:iCs/>
        </w:rPr>
        <w:t>The Scope of Our Art: The Vocation of the Theological Tutor</w:t>
      </w:r>
      <w:r>
        <w:t>, ed.</w:t>
      </w:r>
      <w:r w:rsidRPr="00D2606D">
        <w:t xml:space="preserve"> L. Grego</w:t>
      </w:r>
      <w:r>
        <w:t xml:space="preserve">ry Jones and Stephanie </w:t>
      </w:r>
      <w:proofErr w:type="spellStart"/>
      <w:r>
        <w:t>Paulsell</w:t>
      </w:r>
      <w:proofErr w:type="spellEnd"/>
      <w:r>
        <w:t>,</w:t>
      </w:r>
      <w:r w:rsidRPr="00D2606D">
        <w:t xml:space="preserve"> </w:t>
      </w:r>
      <w:r>
        <w:t>(</w:t>
      </w:r>
      <w:r w:rsidRPr="00D2606D">
        <w:t>Grand Rapids: Eerdmans, 2002</w:t>
      </w:r>
      <w:r>
        <w:t>),</w:t>
      </w:r>
      <w:r w:rsidRPr="00D2606D">
        <w:t xml:space="preserve"> 120-135</w:t>
      </w:r>
      <w:r>
        <w:t>.</w:t>
      </w:r>
    </w:p>
  </w:footnote>
  <w:footnote w:id="67">
    <w:p w:rsidR="00FB2D18" w:rsidRPr="00C55B2D" w:rsidRDefault="00FB2D18" w:rsidP="00FB2D18">
      <w:pPr>
        <w:pStyle w:val="FootnoteText"/>
        <w:rPr>
          <w:lang w:val="en-US"/>
        </w:rPr>
      </w:pPr>
      <w:r>
        <w:rPr>
          <w:rStyle w:val="FootnoteReference"/>
        </w:rPr>
        <w:footnoteRef/>
      </w:r>
      <w:r>
        <w:t xml:space="preserve"> </w:t>
      </w:r>
      <w:r>
        <w:rPr>
          <w:lang w:val="en-US"/>
        </w:rPr>
        <w:t xml:space="preserve">Ibid, 73-75; </w:t>
      </w:r>
      <w:r w:rsidRPr="00980571">
        <w:rPr>
          <w:lang w:val="en-US"/>
        </w:rPr>
        <w:t xml:space="preserve">Anne E. </w:t>
      </w:r>
      <w:proofErr w:type="spellStart"/>
      <w:r w:rsidRPr="00980571">
        <w:rPr>
          <w:lang w:val="en-US"/>
        </w:rPr>
        <w:t>Streaty</w:t>
      </w:r>
      <w:proofErr w:type="spellEnd"/>
      <w:r w:rsidRPr="00980571">
        <w:rPr>
          <w:lang w:val="en-US"/>
        </w:rPr>
        <w:t xml:space="preserve"> </w:t>
      </w:r>
      <w:proofErr w:type="spellStart"/>
      <w:r w:rsidRPr="00980571">
        <w:rPr>
          <w:lang w:val="en-US"/>
        </w:rPr>
        <w:t>Wimberly</w:t>
      </w:r>
      <w:proofErr w:type="spellEnd"/>
      <w:r w:rsidRPr="00980571">
        <w:rPr>
          <w:lang w:val="en-US"/>
        </w:rPr>
        <w:t xml:space="preserve">, “Hospitable Kinship in Theological Education: Cross-Cultural Perspectives on Teaching and Learning as Gift Exchange”, </w:t>
      </w:r>
      <w:r w:rsidRPr="00980571">
        <w:rPr>
          <w:i/>
          <w:lang w:val="en-US"/>
        </w:rPr>
        <w:t xml:space="preserve">Teaching Theology and Religion </w:t>
      </w:r>
      <w:r>
        <w:rPr>
          <w:lang w:val="en-US"/>
        </w:rPr>
        <w:t>7, no. 1 (2004): 3</w:t>
      </w:r>
      <w:r w:rsidRPr="00980571">
        <w:rPr>
          <w:lang w:val="en-US"/>
        </w:rPr>
        <w:t>.</w:t>
      </w:r>
    </w:p>
  </w:footnote>
  <w:footnote w:id="68">
    <w:p w:rsidR="00FB2D18" w:rsidRPr="00980571" w:rsidRDefault="00FB2D18" w:rsidP="00FB2D18">
      <w:pPr>
        <w:pStyle w:val="FootnoteText"/>
        <w:rPr>
          <w:lang w:val="en-US"/>
        </w:rPr>
      </w:pPr>
      <w:r>
        <w:rPr>
          <w:rStyle w:val="FootnoteReference"/>
        </w:rPr>
        <w:footnoteRef/>
      </w:r>
      <w:r>
        <w:t xml:space="preserve"> </w:t>
      </w:r>
      <w:proofErr w:type="gramStart"/>
      <w:r>
        <w:rPr>
          <w:lang w:val="en-US"/>
        </w:rPr>
        <w:t>Palmer, 83ff.</w:t>
      </w:r>
      <w:proofErr w:type="gramEnd"/>
    </w:p>
  </w:footnote>
  <w:footnote w:id="69">
    <w:p w:rsidR="00FB2D18" w:rsidRPr="005E7509" w:rsidRDefault="00FB2D18" w:rsidP="00FB2D18">
      <w:pPr>
        <w:pStyle w:val="FootnoteText"/>
        <w:rPr>
          <w:lang w:val="en-US"/>
        </w:rPr>
      </w:pPr>
      <w:r>
        <w:rPr>
          <w:rStyle w:val="FootnoteReference"/>
        </w:rPr>
        <w:footnoteRef/>
      </w:r>
      <w:r>
        <w:t xml:space="preserve"> </w:t>
      </w:r>
      <w:proofErr w:type="gramStart"/>
      <w:r>
        <w:rPr>
          <w:lang w:val="en-US"/>
        </w:rPr>
        <w:t>Ibid, 89.</w:t>
      </w:r>
      <w:proofErr w:type="gramEnd"/>
    </w:p>
  </w:footnote>
  <w:footnote w:id="70">
    <w:p w:rsidR="00FB2D18" w:rsidRPr="009D5D90" w:rsidRDefault="00FB2D18" w:rsidP="00FB2D18">
      <w:pPr>
        <w:pStyle w:val="FootnoteText"/>
        <w:rPr>
          <w:lang w:val="en-US"/>
        </w:rPr>
      </w:pPr>
      <w:r>
        <w:rPr>
          <w:rStyle w:val="FootnoteReference"/>
        </w:rPr>
        <w:footnoteRef/>
      </w:r>
      <w:r>
        <w:t xml:space="preserve"> </w:t>
      </w:r>
      <w:proofErr w:type="gramStart"/>
      <w:r>
        <w:rPr>
          <w:lang w:val="en-US"/>
        </w:rPr>
        <w:t>Ibid, 90.</w:t>
      </w:r>
      <w:proofErr w:type="gramEnd"/>
    </w:p>
  </w:footnote>
  <w:footnote w:id="71">
    <w:p w:rsidR="00FB2D18" w:rsidRPr="00D063DD" w:rsidRDefault="00FB2D18" w:rsidP="00FB2D18">
      <w:pPr>
        <w:pStyle w:val="FootnoteText"/>
        <w:rPr>
          <w:lang w:val="en-US"/>
        </w:rPr>
      </w:pPr>
      <w:r>
        <w:rPr>
          <w:rStyle w:val="FootnoteReference"/>
        </w:rPr>
        <w:footnoteRef/>
      </w:r>
      <w:r>
        <w:t xml:space="preserve"> </w:t>
      </w:r>
      <w:r>
        <w:rPr>
          <w:lang w:val="en-US"/>
        </w:rPr>
        <w:t>Ibid, 103-104.</w:t>
      </w:r>
    </w:p>
  </w:footnote>
  <w:footnote w:id="72">
    <w:p w:rsidR="00FB2D18" w:rsidRPr="0065323A" w:rsidRDefault="00FB2D18" w:rsidP="00FB2D18">
      <w:pPr>
        <w:pStyle w:val="FootnoteText"/>
        <w:rPr>
          <w:lang w:val="en-US"/>
        </w:rPr>
      </w:pPr>
      <w:r>
        <w:rPr>
          <w:rStyle w:val="FootnoteReference"/>
        </w:rPr>
        <w:footnoteRef/>
      </w:r>
      <w:r>
        <w:t xml:space="preserve"> </w:t>
      </w:r>
      <w:proofErr w:type="gramStart"/>
      <w:r>
        <w:rPr>
          <w:lang w:val="en-US"/>
        </w:rPr>
        <w:t>Ibid, 108.</w:t>
      </w:r>
      <w:proofErr w:type="gramEnd"/>
    </w:p>
  </w:footnote>
  <w:footnote w:id="73">
    <w:p w:rsidR="00FB2D18" w:rsidRPr="00F00AC8" w:rsidRDefault="00FB2D18" w:rsidP="00FB2D18">
      <w:pPr>
        <w:pStyle w:val="FootnoteText"/>
        <w:rPr>
          <w:lang w:val="en-US"/>
        </w:rPr>
      </w:pPr>
      <w:r>
        <w:rPr>
          <w:rStyle w:val="FootnoteReference"/>
        </w:rPr>
        <w:footnoteRef/>
      </w:r>
      <w:r>
        <w:t xml:space="preserve"> </w:t>
      </w:r>
      <w:r>
        <w:rPr>
          <w:lang w:val="en-US"/>
        </w:rPr>
        <w:t>Ibid, 108-111</w:t>
      </w:r>
    </w:p>
  </w:footnote>
  <w:footnote w:id="74">
    <w:p w:rsidR="00FB2D18" w:rsidRPr="00F00AC8" w:rsidRDefault="00FB2D18" w:rsidP="00FB2D18">
      <w:pPr>
        <w:pStyle w:val="FootnoteText"/>
        <w:rPr>
          <w:lang w:val="en-US"/>
        </w:rPr>
      </w:pPr>
      <w:r>
        <w:rPr>
          <w:rStyle w:val="FootnoteReference"/>
        </w:rPr>
        <w:footnoteRef/>
      </w:r>
      <w:r>
        <w:t xml:space="preserve"> </w:t>
      </w:r>
      <w:proofErr w:type="gramStart"/>
      <w:r>
        <w:rPr>
          <w:lang w:val="en-US"/>
        </w:rPr>
        <w:t>Ibid, 112.</w:t>
      </w:r>
      <w:proofErr w:type="gramEnd"/>
    </w:p>
  </w:footnote>
  <w:footnote w:id="75">
    <w:p w:rsidR="00FB2D18" w:rsidRPr="00F159B0" w:rsidRDefault="00FB2D18" w:rsidP="00FB2D18">
      <w:pPr>
        <w:pStyle w:val="FootnoteText"/>
        <w:rPr>
          <w:lang w:val="en-US"/>
        </w:rPr>
      </w:pPr>
      <w:r>
        <w:rPr>
          <w:rStyle w:val="FootnoteReference"/>
        </w:rPr>
        <w:footnoteRef/>
      </w:r>
      <w:r>
        <w:t xml:space="preserve"> </w:t>
      </w:r>
      <w:proofErr w:type="gramStart"/>
      <w:r>
        <w:rPr>
          <w:lang w:val="en-US"/>
        </w:rPr>
        <w:t>Ibid, 113.</w:t>
      </w:r>
      <w:proofErr w:type="gramEnd"/>
    </w:p>
  </w:footnote>
  <w:footnote w:id="76">
    <w:p w:rsidR="00FB2D18" w:rsidRPr="00A021C4" w:rsidRDefault="00FB2D18" w:rsidP="00FB2D18">
      <w:pPr>
        <w:pStyle w:val="FootnoteText"/>
        <w:rPr>
          <w:lang w:val="en-US"/>
        </w:rPr>
      </w:pPr>
      <w:r>
        <w:rPr>
          <w:rStyle w:val="FootnoteReference"/>
        </w:rPr>
        <w:footnoteRef/>
      </w:r>
      <w:r>
        <w:t xml:space="preserve"> </w:t>
      </w:r>
      <w:proofErr w:type="spellStart"/>
      <w:proofErr w:type="gramStart"/>
      <w:r>
        <w:rPr>
          <w:lang w:val="en-US"/>
        </w:rPr>
        <w:t>Freire</w:t>
      </w:r>
      <w:proofErr w:type="spellEnd"/>
      <w:r>
        <w:rPr>
          <w:lang w:val="en-US"/>
        </w:rPr>
        <w:t>, 19.</w:t>
      </w:r>
      <w:proofErr w:type="gramEnd"/>
    </w:p>
  </w:footnote>
  <w:footnote w:id="77">
    <w:p w:rsidR="00FB2D18" w:rsidRPr="000B50DB" w:rsidRDefault="00FB2D18" w:rsidP="00FB2D18">
      <w:pPr>
        <w:pStyle w:val="FootnoteText"/>
        <w:rPr>
          <w:lang w:val="en-US"/>
        </w:rPr>
      </w:pPr>
      <w:r>
        <w:rPr>
          <w:rStyle w:val="FootnoteReference"/>
        </w:rPr>
        <w:footnoteRef/>
      </w:r>
      <w:r>
        <w:t xml:space="preserve"> </w:t>
      </w:r>
      <w:proofErr w:type="spellStart"/>
      <w:proofErr w:type="gramStart"/>
      <w:r>
        <w:rPr>
          <w:lang w:val="en-US"/>
        </w:rPr>
        <w:t>Freire</w:t>
      </w:r>
      <w:proofErr w:type="spellEnd"/>
      <w:r>
        <w:rPr>
          <w:lang w:val="en-US"/>
        </w:rPr>
        <w:t>, 137; Palmer, 33.</w:t>
      </w:r>
      <w:proofErr w:type="gramEnd"/>
    </w:p>
  </w:footnote>
  <w:footnote w:id="78">
    <w:p w:rsidR="00FB2D18" w:rsidRPr="00AF40D3" w:rsidRDefault="00FB2D18" w:rsidP="00FB2D18">
      <w:pPr>
        <w:pStyle w:val="FootnoteText"/>
        <w:rPr>
          <w:lang w:val="en-US"/>
        </w:rPr>
      </w:pPr>
      <w:r>
        <w:rPr>
          <w:rStyle w:val="FootnoteReference"/>
        </w:rPr>
        <w:footnoteRef/>
      </w:r>
      <w:r>
        <w:t xml:space="preserve"> </w:t>
      </w:r>
      <w:proofErr w:type="spellStart"/>
      <w:proofErr w:type="gramStart"/>
      <w:r>
        <w:rPr>
          <w:lang w:val="en-US"/>
        </w:rPr>
        <w:t>Freire</w:t>
      </w:r>
      <w:proofErr w:type="spellEnd"/>
      <w:r>
        <w:rPr>
          <w:lang w:val="en-US"/>
        </w:rPr>
        <w:t>, 28.</w:t>
      </w:r>
      <w:proofErr w:type="gramEnd"/>
    </w:p>
  </w:footnote>
  <w:footnote w:id="79">
    <w:p w:rsidR="00FB2D18" w:rsidRPr="00AF40D3" w:rsidRDefault="00FB2D18" w:rsidP="00FB2D18">
      <w:pPr>
        <w:pStyle w:val="FootnoteText"/>
        <w:rPr>
          <w:lang w:val="en-US"/>
        </w:rPr>
      </w:pPr>
      <w:r>
        <w:rPr>
          <w:rStyle w:val="FootnoteReference"/>
        </w:rPr>
        <w:footnoteRef/>
      </w:r>
      <w:r>
        <w:t xml:space="preserve"> </w:t>
      </w:r>
      <w:proofErr w:type="gramStart"/>
      <w:r>
        <w:rPr>
          <w:lang w:val="en-US"/>
        </w:rPr>
        <w:t>Palmer, 6.</w:t>
      </w:r>
      <w:proofErr w:type="gramEnd"/>
    </w:p>
  </w:footnote>
  <w:footnote w:id="80">
    <w:p w:rsidR="00FB2D18" w:rsidRPr="00AF40D3" w:rsidRDefault="00FB2D18" w:rsidP="00FB2D18">
      <w:pPr>
        <w:pStyle w:val="FootnoteText"/>
        <w:rPr>
          <w:lang w:val="en-US"/>
        </w:rPr>
      </w:pPr>
      <w:r>
        <w:rPr>
          <w:rStyle w:val="FootnoteReference"/>
        </w:rPr>
        <w:footnoteRef/>
      </w:r>
      <w:r>
        <w:t xml:space="preserve"> </w:t>
      </w:r>
      <w:proofErr w:type="spellStart"/>
      <w:r>
        <w:rPr>
          <w:lang w:val="en-US"/>
        </w:rPr>
        <w:t>Freire</w:t>
      </w:r>
      <w:proofErr w:type="spellEnd"/>
      <w:r>
        <w:rPr>
          <w:lang w:val="en-US"/>
        </w:rPr>
        <w:t>, 53; Palmer, 29-30.</w:t>
      </w:r>
    </w:p>
  </w:footnote>
  <w:footnote w:id="81">
    <w:p w:rsidR="00FB2D18" w:rsidRPr="00273379" w:rsidRDefault="00FB2D18" w:rsidP="00FB2D18">
      <w:pPr>
        <w:pStyle w:val="FootnoteText"/>
        <w:rPr>
          <w:lang w:val="en-US"/>
        </w:rPr>
      </w:pPr>
      <w:r>
        <w:rPr>
          <w:rStyle w:val="FootnoteReference"/>
        </w:rPr>
        <w:footnoteRef/>
      </w:r>
      <w:r>
        <w:t xml:space="preserve"> </w:t>
      </w:r>
      <w:proofErr w:type="spellStart"/>
      <w:r>
        <w:rPr>
          <w:lang w:val="en-US"/>
        </w:rPr>
        <w:t>Freire</w:t>
      </w:r>
      <w:proofErr w:type="spellEnd"/>
      <w:r>
        <w:rPr>
          <w:lang w:val="en-US"/>
        </w:rPr>
        <w:t>, 70-71; Palmer, 103-104.</w:t>
      </w:r>
    </w:p>
  </w:footnote>
  <w:footnote w:id="82">
    <w:p w:rsidR="00FB2D18" w:rsidRPr="00AB65DE" w:rsidRDefault="00FB2D18" w:rsidP="00FB2D18">
      <w:pPr>
        <w:pStyle w:val="FootnoteText"/>
        <w:rPr>
          <w:lang w:val="en-US"/>
        </w:rPr>
      </w:pPr>
      <w:r>
        <w:rPr>
          <w:rStyle w:val="FootnoteReference"/>
        </w:rPr>
        <w:footnoteRef/>
      </w:r>
      <w:r>
        <w:t xml:space="preserve"> </w:t>
      </w:r>
      <w:proofErr w:type="spellStart"/>
      <w:r>
        <w:rPr>
          <w:lang w:val="en-US"/>
        </w:rPr>
        <w:t>Freire</w:t>
      </w:r>
      <w:proofErr w:type="spellEnd"/>
      <w:r>
        <w:rPr>
          <w:lang w:val="en-US"/>
        </w:rPr>
        <w:t>, 72; Palmer, 108-110.</w:t>
      </w:r>
    </w:p>
  </w:footnote>
  <w:footnote w:id="83">
    <w:p w:rsidR="00FB2D18" w:rsidRPr="00AB65DE" w:rsidRDefault="00FB2D18" w:rsidP="00FB2D18">
      <w:pPr>
        <w:pStyle w:val="FootnoteText"/>
        <w:rPr>
          <w:lang w:val="en-US"/>
        </w:rPr>
      </w:pPr>
      <w:r>
        <w:rPr>
          <w:rStyle w:val="FootnoteReference"/>
        </w:rPr>
        <w:footnoteRef/>
      </w:r>
      <w:r>
        <w:t xml:space="preserve"> </w:t>
      </w:r>
      <w:r>
        <w:rPr>
          <w:lang w:val="en-US"/>
        </w:rPr>
        <w:t>Palmer, 110-111</w:t>
      </w:r>
    </w:p>
  </w:footnote>
  <w:footnote w:id="84">
    <w:p w:rsidR="00FB2D18" w:rsidRPr="00AB65DE" w:rsidRDefault="00FB2D18" w:rsidP="00FB2D18">
      <w:pPr>
        <w:pStyle w:val="FootnoteText"/>
        <w:rPr>
          <w:lang w:val="en-US"/>
        </w:rPr>
      </w:pPr>
      <w:r>
        <w:rPr>
          <w:rStyle w:val="FootnoteReference"/>
        </w:rPr>
        <w:footnoteRef/>
      </w:r>
      <w:r>
        <w:t xml:space="preserve"> </w:t>
      </w:r>
      <w:proofErr w:type="spellStart"/>
      <w:proofErr w:type="gramStart"/>
      <w:r>
        <w:t>Freire</w:t>
      </w:r>
      <w:proofErr w:type="spellEnd"/>
      <w:r>
        <w:t>, 73.</w:t>
      </w:r>
      <w:proofErr w:type="gramEnd"/>
    </w:p>
  </w:footnote>
  <w:footnote w:id="85">
    <w:p w:rsidR="00FB2D18" w:rsidRPr="00D77926" w:rsidRDefault="00FB2D18" w:rsidP="00FB2D18">
      <w:pPr>
        <w:pStyle w:val="FootnoteText"/>
        <w:rPr>
          <w:lang w:val="en-US"/>
        </w:rPr>
      </w:pPr>
      <w:r>
        <w:rPr>
          <w:rStyle w:val="FootnoteReference"/>
        </w:rPr>
        <w:footnoteRef/>
      </w:r>
      <w:r>
        <w:t xml:space="preserve"> </w:t>
      </w:r>
      <w:proofErr w:type="spellStart"/>
      <w:r>
        <w:t>Freire</w:t>
      </w:r>
      <w:proofErr w:type="spellEnd"/>
      <w:r>
        <w:t>, 64-66; Palmer, 72-73.</w:t>
      </w:r>
    </w:p>
  </w:footnote>
  <w:footnote w:id="86">
    <w:p w:rsidR="00FB2D18" w:rsidRPr="00044A9D" w:rsidRDefault="00FB2D18" w:rsidP="00FB2D18">
      <w:pPr>
        <w:pStyle w:val="FootnoteText"/>
        <w:rPr>
          <w:lang w:val="en-US"/>
        </w:rPr>
      </w:pPr>
      <w:r>
        <w:rPr>
          <w:rStyle w:val="FootnoteReference"/>
        </w:rPr>
        <w:footnoteRef/>
      </w:r>
      <w:r>
        <w:t xml:space="preserve"> </w:t>
      </w:r>
      <w:proofErr w:type="spellStart"/>
      <w:r>
        <w:rPr>
          <w:lang w:val="en-US"/>
        </w:rPr>
        <w:t>Freire</w:t>
      </w:r>
      <w:proofErr w:type="spellEnd"/>
      <w:r>
        <w:rPr>
          <w:lang w:val="en-US"/>
        </w:rPr>
        <w:t>, 64; Palmer, 57-62.</w:t>
      </w:r>
    </w:p>
  </w:footnote>
  <w:footnote w:id="87">
    <w:p w:rsidR="00FB2D18" w:rsidRPr="00C76C64" w:rsidRDefault="00FB2D18" w:rsidP="00FB2D18">
      <w:pPr>
        <w:pStyle w:val="FootnoteText"/>
        <w:rPr>
          <w:lang w:val="en-US"/>
        </w:rPr>
      </w:pPr>
      <w:r>
        <w:rPr>
          <w:rStyle w:val="FootnoteReference"/>
        </w:rPr>
        <w:footnoteRef/>
      </w:r>
      <w:r>
        <w:t xml:space="preserve"> </w:t>
      </w:r>
      <w:r>
        <w:rPr>
          <w:lang w:val="en-US"/>
        </w:rPr>
        <w:t>Palmer, 59-60.</w:t>
      </w:r>
    </w:p>
  </w:footnote>
  <w:footnote w:id="88">
    <w:p w:rsidR="00FB2D18" w:rsidRPr="00495D92" w:rsidRDefault="00FB2D18" w:rsidP="00FB2D18">
      <w:pPr>
        <w:pStyle w:val="FootnoteText"/>
        <w:rPr>
          <w:lang w:val="en-US"/>
        </w:rPr>
      </w:pPr>
      <w:r>
        <w:rPr>
          <w:rStyle w:val="FootnoteReference"/>
        </w:rPr>
        <w:footnoteRef/>
      </w:r>
      <w:r>
        <w:t xml:space="preserve"> </w:t>
      </w:r>
      <w:proofErr w:type="spellStart"/>
      <w:proofErr w:type="gramStart"/>
      <w:r>
        <w:rPr>
          <w:lang w:val="en-US"/>
        </w:rPr>
        <w:t>Freire</w:t>
      </w:r>
      <w:proofErr w:type="spellEnd"/>
      <w:r>
        <w:rPr>
          <w:lang w:val="en-US"/>
        </w:rPr>
        <w:t>, 70.</w:t>
      </w:r>
      <w:proofErr w:type="gramEnd"/>
    </w:p>
  </w:footnote>
  <w:footnote w:id="89">
    <w:p w:rsidR="00FB2D18" w:rsidRPr="00B009B9" w:rsidRDefault="00FB2D18" w:rsidP="00FB2D18">
      <w:pPr>
        <w:pStyle w:val="FootnoteText"/>
        <w:rPr>
          <w:lang w:val="en-US"/>
        </w:rPr>
      </w:pPr>
      <w:r>
        <w:rPr>
          <w:rStyle w:val="FootnoteReference"/>
        </w:rPr>
        <w:footnoteRef/>
      </w:r>
      <w:r>
        <w:t xml:space="preserve"> </w:t>
      </w:r>
      <w:r>
        <w:rPr>
          <w:lang w:val="en-US"/>
        </w:rPr>
        <w:t>Ibid.</w:t>
      </w:r>
    </w:p>
  </w:footnote>
  <w:footnote w:id="90">
    <w:p w:rsidR="00FB2D18" w:rsidRPr="00B009B9" w:rsidRDefault="00FB2D18" w:rsidP="00FB2D18">
      <w:pPr>
        <w:pStyle w:val="FootnoteText"/>
        <w:rPr>
          <w:lang w:val="en-US"/>
        </w:rPr>
      </w:pPr>
      <w:r>
        <w:rPr>
          <w:rStyle w:val="FootnoteReference"/>
        </w:rPr>
        <w:footnoteRef/>
      </w:r>
      <w:r>
        <w:t xml:space="preserve"> </w:t>
      </w:r>
      <w:proofErr w:type="gramStart"/>
      <w:r>
        <w:rPr>
          <w:lang w:val="en-US"/>
        </w:rPr>
        <w:t>Palmer, 14.</w:t>
      </w:r>
      <w:proofErr w:type="gramEnd"/>
    </w:p>
  </w:footnote>
  <w:footnote w:id="91">
    <w:p w:rsidR="00FB2D18" w:rsidRPr="00647B6B" w:rsidRDefault="00FB2D18" w:rsidP="00FB2D18">
      <w:pPr>
        <w:pStyle w:val="FootnoteText"/>
        <w:rPr>
          <w:lang w:val="en-US"/>
        </w:rPr>
      </w:pPr>
      <w:r>
        <w:rPr>
          <w:rStyle w:val="FootnoteReference"/>
        </w:rPr>
        <w:footnoteRef/>
      </w:r>
      <w:r>
        <w:t xml:space="preserve"> Palmer, 12-14.</w:t>
      </w:r>
    </w:p>
  </w:footnote>
  <w:footnote w:id="92">
    <w:p w:rsidR="00FB2D18" w:rsidRDefault="00FB2D18" w:rsidP="00FB2D18">
      <w:pPr>
        <w:pStyle w:val="FootnoteText"/>
      </w:pPr>
      <w:r>
        <w:rPr>
          <w:rStyle w:val="FootnoteReference"/>
        </w:rPr>
        <w:footnoteRef/>
      </w:r>
      <w:r>
        <w:t xml:space="preserve"> </w:t>
      </w:r>
      <w:proofErr w:type="gramStart"/>
      <w:r>
        <w:t>Ibid, 10.</w:t>
      </w:r>
      <w:proofErr w:type="gramEnd"/>
      <w:r w:rsidRPr="00E43FDF">
        <w:rPr>
          <w:lang w:val="en-US"/>
        </w:rPr>
        <w:t xml:space="preserve"> </w:t>
      </w:r>
      <w:r>
        <w:rPr>
          <w:lang w:val="en-US"/>
        </w:rPr>
        <w:t xml:space="preserve">This has special bearing for theological education; if the epistemological reframing of </w:t>
      </w:r>
      <w:proofErr w:type="spellStart"/>
      <w:r>
        <w:rPr>
          <w:lang w:val="en-US"/>
        </w:rPr>
        <w:t>Freire</w:t>
      </w:r>
      <w:proofErr w:type="spellEnd"/>
      <w:r>
        <w:rPr>
          <w:lang w:val="en-US"/>
        </w:rPr>
        <w:t xml:space="preserve"> and Palmer are accepted valid, not only the teaching of theology but theology itself may need similar reframing.  </w:t>
      </w:r>
      <w:r w:rsidRPr="006E6C0E">
        <w:t xml:space="preserve">See Andrew Kirk, </w:t>
      </w:r>
      <w:proofErr w:type="spellStart"/>
      <w:r w:rsidRPr="006E6C0E">
        <w:t>‘Re</w:t>
      </w:r>
      <w:proofErr w:type="spellEnd"/>
      <w:r w:rsidRPr="006E6C0E">
        <w:t xml:space="preserve">-envisioning the Theological Curriculum as if the </w:t>
      </w:r>
      <w:proofErr w:type="spellStart"/>
      <w:r w:rsidRPr="006E6C0E">
        <w:rPr>
          <w:i/>
        </w:rPr>
        <w:t>Missio</w:t>
      </w:r>
      <w:proofErr w:type="spellEnd"/>
      <w:r w:rsidRPr="006E6C0E">
        <w:rPr>
          <w:i/>
        </w:rPr>
        <w:t xml:space="preserve"> Dei </w:t>
      </w:r>
      <w:r w:rsidRPr="006E6C0E">
        <w:t>mattered’</w:t>
      </w:r>
      <w:r w:rsidRPr="006E6C0E">
        <w:rPr>
          <w:lang w:val="en-US"/>
        </w:rPr>
        <w:t xml:space="preserve">in </w:t>
      </w:r>
      <w:r w:rsidRPr="006E6C0E">
        <w:rPr>
          <w:i/>
          <w:lang w:val="en-US"/>
        </w:rPr>
        <w:t>Theological Education as Mission</w:t>
      </w:r>
      <w:r w:rsidRPr="006E6C0E">
        <w:rPr>
          <w:lang w:val="en-US"/>
        </w:rPr>
        <w:t xml:space="preserve">, ed. Peter F. </w:t>
      </w:r>
      <w:proofErr w:type="spellStart"/>
      <w:r w:rsidRPr="006E6C0E">
        <w:rPr>
          <w:lang w:val="en-US"/>
        </w:rPr>
        <w:t>Penner</w:t>
      </w:r>
      <w:proofErr w:type="spellEnd"/>
      <w:r w:rsidRPr="006E6C0E">
        <w:rPr>
          <w:lang w:val="en-US"/>
        </w:rPr>
        <w:t xml:space="preserve"> (</w:t>
      </w:r>
      <w:proofErr w:type="spellStart"/>
      <w:r w:rsidRPr="006E6C0E">
        <w:rPr>
          <w:lang w:val="en-US"/>
        </w:rPr>
        <w:t>Scharzenfeld</w:t>
      </w:r>
      <w:proofErr w:type="spellEnd"/>
      <w:r w:rsidRPr="006E6C0E">
        <w:rPr>
          <w:lang w:val="en-US"/>
        </w:rPr>
        <w:t xml:space="preserve">, Germany: Neufeld </w:t>
      </w:r>
      <w:proofErr w:type="spellStart"/>
      <w:r w:rsidRPr="006E6C0E">
        <w:rPr>
          <w:lang w:val="en-US"/>
        </w:rPr>
        <w:t>Verlag</w:t>
      </w:r>
      <w:proofErr w:type="spellEnd"/>
      <w:r w:rsidRPr="006E6C0E">
        <w:rPr>
          <w:lang w:val="en-US"/>
        </w:rPr>
        <w:t>, 2005),</w:t>
      </w:r>
      <w:r>
        <w:rPr>
          <w:lang w:val="en-US"/>
        </w:rPr>
        <w:t xml:space="preserve">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DF" w:rsidRDefault="00FC031E">
    <w:pPr>
      <w:pStyle w:val="Header"/>
      <w:jc w:val="right"/>
    </w:pPr>
    <w:proofErr w:type="spellStart"/>
    <w:r>
      <w:t>Pazdziora</w:t>
    </w:r>
    <w:proofErr w:type="spellEnd"/>
    <w:r>
      <w:t>/</w:t>
    </w:r>
    <w:sdt>
      <w:sdtPr>
        <w:id w:val="240291808"/>
        <w:docPartObj>
          <w:docPartGallery w:val="Page Numbers (Top of Page)"/>
          <w:docPartUnique/>
        </w:docPartObj>
      </w:sdtPr>
      <w:sdtEndPr/>
      <w:sdtContent>
        <w:r>
          <w:fldChar w:fldCharType="begin"/>
        </w:r>
        <w:r>
          <w:instrText xml:space="preserve"> PAGE   \* MERGEFORMAT </w:instrText>
        </w:r>
        <w:r>
          <w:fldChar w:fldCharType="separate"/>
        </w:r>
        <w:r w:rsidR="004950BC">
          <w:rPr>
            <w:noProof/>
          </w:rPr>
          <w:t>13</w:t>
        </w:r>
        <w:r>
          <w:fldChar w:fldCharType="end"/>
        </w:r>
      </w:sdtContent>
    </w:sdt>
  </w:p>
  <w:p w:rsidR="00E43FDF" w:rsidRDefault="001877C9">
    <w:pPr>
      <w:pStyle w:val="Header"/>
    </w:pPr>
  </w:p>
  <w:p w:rsidR="00E43FDF" w:rsidRDefault="001877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18"/>
    <w:rsid w:val="001643F3"/>
    <w:rsid w:val="001877C9"/>
    <w:rsid w:val="00236407"/>
    <w:rsid w:val="00414EEC"/>
    <w:rsid w:val="004950BC"/>
    <w:rsid w:val="00497D9E"/>
    <w:rsid w:val="004B2E25"/>
    <w:rsid w:val="00517BF9"/>
    <w:rsid w:val="005C736F"/>
    <w:rsid w:val="0076128D"/>
    <w:rsid w:val="008634DF"/>
    <w:rsid w:val="00A81758"/>
    <w:rsid w:val="00A97F4B"/>
    <w:rsid w:val="00C86AD0"/>
    <w:rsid w:val="00DD3601"/>
    <w:rsid w:val="00FB2D18"/>
    <w:rsid w:val="00F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2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D18"/>
    <w:rPr>
      <w:sz w:val="20"/>
      <w:szCs w:val="20"/>
      <w:lang w:val="en-GB"/>
    </w:rPr>
  </w:style>
  <w:style w:type="character" w:styleId="FootnoteReference">
    <w:name w:val="footnote reference"/>
    <w:basedOn w:val="DefaultParagraphFont"/>
    <w:semiHidden/>
    <w:unhideWhenUsed/>
    <w:rsid w:val="00FB2D18"/>
    <w:rPr>
      <w:vertAlign w:val="superscript"/>
    </w:rPr>
  </w:style>
  <w:style w:type="paragraph" w:styleId="Header">
    <w:name w:val="header"/>
    <w:basedOn w:val="Normal"/>
    <w:link w:val="HeaderChar"/>
    <w:uiPriority w:val="99"/>
    <w:unhideWhenUsed/>
    <w:rsid w:val="00FB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D18"/>
    <w:rPr>
      <w:lang w:val="en-GB"/>
    </w:rPr>
  </w:style>
  <w:style w:type="paragraph" w:styleId="Bibliography">
    <w:name w:val="Bibliography"/>
    <w:basedOn w:val="Normal"/>
    <w:next w:val="Normal"/>
    <w:uiPriority w:val="37"/>
    <w:unhideWhenUsed/>
    <w:rsid w:val="00FB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2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D18"/>
    <w:rPr>
      <w:sz w:val="20"/>
      <w:szCs w:val="20"/>
      <w:lang w:val="en-GB"/>
    </w:rPr>
  </w:style>
  <w:style w:type="character" w:styleId="FootnoteReference">
    <w:name w:val="footnote reference"/>
    <w:basedOn w:val="DefaultParagraphFont"/>
    <w:semiHidden/>
    <w:unhideWhenUsed/>
    <w:rsid w:val="00FB2D18"/>
    <w:rPr>
      <w:vertAlign w:val="superscript"/>
    </w:rPr>
  </w:style>
  <w:style w:type="paragraph" w:styleId="Header">
    <w:name w:val="header"/>
    <w:basedOn w:val="Normal"/>
    <w:link w:val="HeaderChar"/>
    <w:uiPriority w:val="99"/>
    <w:unhideWhenUsed/>
    <w:rsid w:val="00FB2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D18"/>
    <w:rPr>
      <w:lang w:val="en-GB"/>
    </w:rPr>
  </w:style>
  <w:style w:type="paragraph" w:styleId="Bibliography">
    <w:name w:val="Bibliography"/>
    <w:basedOn w:val="Normal"/>
    <w:next w:val="Normal"/>
    <w:uiPriority w:val="37"/>
    <w:unhideWhenUsed/>
    <w:rsid w:val="00FB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Fre93</b:Tag>
    <b:SourceType>Book</b:SourceType>
    <b:Guid>{D06D986B-4C30-4E4F-96E8-44B308D71024}</b:Guid>
    <b:Author>
      <b:Author>
        <b:NameList>
          <b:Person>
            <b:Last>Freire</b:Last>
            <b:First>Paulo</b:First>
          </b:Person>
        </b:NameList>
      </b:Author>
      <b:Translator>
        <b:NameList>
          <b:Person>
            <b:Last>Ramos</b:Last>
            <b:First>Myra</b:First>
            <b:Middle>Bergman</b:Middle>
          </b:Person>
        </b:NameList>
      </b:Translator>
    </b:Author>
    <b:Title>Pedagogy of the Oppressed</b:Title>
    <b:Year>1993</b:Year>
    <b:City>London</b:City>
    <b:Publisher>Penguin</b:Publisher>
    <b:Edition>Revised Edition</b:Edition>
    <b:RefOrder>1</b:RefOrder>
  </b:Source>
  <b:Source>
    <b:Tag>Pal93</b:Tag>
    <b:SourceType>Book</b:SourceType>
    <b:Guid>{F9A28566-BEF9-4D57-9AD7-F802AFBF009E}</b:Guid>
    <b:Author>
      <b:Author>
        <b:NameList>
          <b:Person>
            <b:Last>Palmer</b:Last>
            <b:First>Parker</b:First>
          </b:Person>
        </b:NameList>
      </b:Author>
    </b:Author>
    <b:Title>To Know as we are Known</b:Title>
    <b:Year>1993</b:Year>
    <b:City>New York</b:City>
    <b:Publisher>Harper Collins</b:Publisher>
    <b:RefOrder>2</b:RefOrder>
  </b:Source>
  <b:Source>
    <b:Tag>Hod99</b:Tag>
    <b:SourceType>Book</b:SourceType>
    <b:Guid>{BB741D3F-B122-4007-B75C-76467E48CBAD}</b:Guid>
    <b:Author>
      <b:Author>
        <b:NameList>
          <b:Person>
            <b:Last>Hodgson</b:Last>
            <b:First>Peter</b:First>
            <b:Middle>C.</b:Middle>
          </b:Person>
        </b:NameList>
      </b:Author>
    </b:Author>
    <b:Title>God's Wisdom: Toward a Theology of Education</b:Title>
    <b:Year>1999</b:Year>
    <b:City>Louisville</b:City>
    <b:Publisher>Westminster John Knox</b:Publisher>
    <b:RefOrder>3</b:RefOrder>
  </b:Source>
  <b:Source>
    <b:Tag>Ott01</b:Tag>
    <b:SourceType>Book</b:SourceType>
    <b:Guid>{3950513D-9973-48C0-BD58-0C9346E031E0}</b:Guid>
    <b:Author>
      <b:Author>
        <b:NameList>
          <b:Person>
            <b:Last>Ott</b:Last>
            <b:First>Bernhard</b:First>
          </b:Person>
        </b:NameList>
      </b:Author>
    </b:Author>
    <b:Title>Beyond Fragmentation: Integrating Mission and Theological Education</b:Title>
    <b:Year>2001</b:Year>
    <b:City>Carlisle, UK</b:City>
    <b:Publisher>Regnum Books</b:Publisher>
    <b:RefOrder>4</b:RefOrder>
  </b:Source>
  <b:Source>
    <b:Tag>Bro95</b:Tag>
    <b:SourceType>Book</b:SourceType>
    <b:Guid>{55CBFFD4-303D-4DA8-8495-BEC249491F0C}</b:Guid>
    <b:Author>
      <b:Author>
        <b:NameList>
          <b:Person>
            <b:Last>Brookfield</b:Last>
            <b:First>Stephen</b:First>
            <b:Middle>D.</b:Middle>
          </b:Person>
        </b:NameList>
      </b:Author>
    </b:Author>
    <b:Title>Becoming a Critically Reflective Teacher</b:Title>
    <b:Year>1995</b:Year>
    <b:City>San Francisco</b:City>
    <b:Publisher>Jossey-Bass</b:Publisher>
    <b:RefOrder>5</b:RefOrder>
  </b:Source>
  <b:Source>
    <b:Tag>Wim04</b:Tag>
    <b:SourceType>JournalArticle</b:SourceType>
    <b:Guid>{E340B44C-70C1-4E0C-BC8D-E2CFDA33C9A7}</b:Guid>
    <b:Author>
      <b:Author>
        <b:NameList>
          <b:Person>
            <b:Last>Wimberly</b:Last>
            <b:First>Anne</b:First>
            <b:Middle>E. Streaty</b:Middle>
          </b:Person>
        </b:NameList>
      </b:Author>
    </b:Author>
    <b:Title>Hospitable Kinship in Theological Education</b:Title>
    <b:JournalName>Teaching Theology and Religion</b:JournalName>
    <b:Year>2004</b:Year>
    <b:Pages>3-12</b:Pages>
    <b:Volume>7</b:Volume>
    <b:Issue>1</b:Issue>
    <b:RefOrder>6</b:RefOrder>
  </b:Source>
  <b:Source>
    <b:Tag>Wad</b:Tag>
    <b:SourceType>BookSection</b:SourceType>
    <b:Guid>{D934C6A8-7879-4939-939E-9325DBDA056F}</b:Guid>
    <b:Author>
      <b:Author>
        <b:NameList>
          <b:Person>
            <b:Last>Wadell</b:Last>
            <b:First>Paul</b:First>
          </b:Person>
        </b:NameList>
      </b:Author>
      <b:Editor>
        <b:NameList>
          <b:Person>
            <b:Last>Jones</b:Last>
            <b:First>L.</b:First>
            <b:Middle>Gregory</b:Middle>
          </b:Person>
          <b:Person>
            <b:Last>Paulsell</b:Last>
            <b:First>Stephanie</b:First>
          </b:Person>
        </b:NameList>
      </b:Editor>
    </b:Author>
    <b:Title>Teaching as a Ministry of Hope</b:Title>
    <b:BookTitle>The Scope of Our Art: The Vocation of the Theological Tutor</b:BookTitle>
    <b:Year>2002</b:Year>
    <b:Pages>120-135</b:Pages>
    <b:City>Grand Rapids</b:City>
    <b:Publisher>Eerdmans</b:Publisher>
    <b:RefOrder>7</b:RefOrder>
  </b:Source>
  <b:Source>
    <b:Tag>Kir05</b:Tag>
    <b:SourceType>BookSection</b:SourceType>
    <b:Guid>{1CDA65A9-CCAF-4234-B91C-CB3A8CC34096}</b:Guid>
    <b:Author>
      <b:Author>
        <b:NameList>
          <b:Person>
            <b:Last>Kirk</b:Last>
            <b:First>Andrew</b:First>
          </b:Person>
        </b:NameList>
      </b:Author>
      <b:Editor>
        <b:NameList>
          <b:Person>
            <b:Last>Penner</b:Last>
            <b:First>Peter</b:First>
            <b:Middle>F.</b:Middle>
          </b:Person>
        </b:NameList>
      </b:Editor>
    </b:Author>
    <b:Title>Re-envisioning the Theological Curriculum as if the Missio Dei mattered</b:Title>
    <b:Year>2005</b:Year>
    <b:City>Scharzenfeld,Germany</b:City>
    <b:Publisher>Neufeld Verlag</b:Publisher>
    <b:BookTitle>Theological Education as Mission</b:BookTitle>
    <b:Pages>22-37</b:Pages>
    <b:RefOrder>8</b:RefOrder>
  </b:Source>
  <b:Source>
    <b:Tag>Kin83</b:Tag>
    <b:SourceType>BookSection</b:SourceType>
    <b:Guid>{6C4A9AA3-5F46-4AE5-9D98-F97377939EB9}</b:Guid>
    <b:Author>
      <b:Author>
        <b:NameList>
          <b:Person>
            <b:Last>Kinsler</b:Last>
            <b:First>F.</b:First>
            <b:Middle>Ross</b:Middle>
          </b:Person>
        </b:NameList>
      </b:Author>
      <b:Editor>
        <b:NameList>
          <b:Person>
            <b:Last>Kinsler</b:Last>
            <b:First>F.</b:First>
            <b:Middle>Ross</b:Middle>
          </b:Person>
        </b:NameList>
      </b:Editor>
    </b:Author>
    <b:Title>Theological Education by extention: Equipping God's people for ministry</b:Title>
    <b:Year>1983</b:Year>
    <b:City>Geneva</b:City>
    <b:Publisher>WCC</b:Publisher>
    <b:BookTitle>Ministry by the People: Theological Education by Extention</b:BookTitle>
    <b:Pages>1-32</b:Pages>
    <b:RefOrder>9</b:RefOrder>
  </b:Source>
</b:Sources>
</file>

<file path=customXml/itemProps1.xml><?xml version="1.0" encoding="utf-8"?>
<ds:datastoreItem xmlns:ds="http://schemas.openxmlformats.org/officeDocument/2006/customXml" ds:itemID="{D14F5030-EF3D-4E23-AABB-0470A2EF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4</cp:revision>
  <dcterms:created xsi:type="dcterms:W3CDTF">2010-10-16T16:21:00Z</dcterms:created>
  <dcterms:modified xsi:type="dcterms:W3CDTF">2010-10-28T07:14:00Z</dcterms:modified>
  <cp:contentStatus/>
</cp:coreProperties>
</file>