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5FA" w:rsidRDefault="009245FA">
      <w:pPr>
        <w:rPr>
          <w:b/>
        </w:rPr>
      </w:pPr>
      <w:r>
        <w:rPr>
          <w:b/>
        </w:rPr>
        <w:t xml:space="preserve">Theological Education and Vocationalism </w:t>
      </w:r>
    </w:p>
    <w:p w:rsidR="0063480B" w:rsidRDefault="0063480B">
      <w:pPr>
        <w:rPr>
          <w:b/>
        </w:rPr>
      </w:pPr>
      <w:r>
        <w:rPr>
          <w:b/>
        </w:rPr>
        <w:t>An article by Graham Cheesman published in The Theological E</w:t>
      </w:r>
      <w:bookmarkStart w:id="0" w:name="_GoBack"/>
      <w:bookmarkEnd w:id="0"/>
      <w:r>
        <w:rPr>
          <w:b/>
        </w:rPr>
        <w:t>ducator, June 2008 (3.1) p6.</w:t>
      </w:r>
    </w:p>
    <w:p w:rsidR="009245FA" w:rsidRDefault="00F36E5E">
      <w:r>
        <w:t>Discussion on t</w:t>
      </w:r>
      <w:r w:rsidR="009245FA">
        <w:t xml:space="preserve">he vocational purpose of theological education </w:t>
      </w:r>
      <w:r w:rsidR="00562012">
        <w:t>relies on</w:t>
      </w:r>
      <w:r w:rsidR="009245FA">
        <w:t xml:space="preserve"> a number of key historical debates. The first debate is very English, although it has its origins in ancient Greece, was disputed by a group of Scotsmen and an E</w:t>
      </w:r>
      <w:r w:rsidR="00562012">
        <w:t xml:space="preserve">nglishman lecturing in Ireland; </w:t>
      </w:r>
      <w:r w:rsidR="009245FA">
        <w:t xml:space="preserve">has been developed by a Spaniard writing in his country’s pre-revolutionary dictatorship and </w:t>
      </w:r>
      <w:r w:rsidR="00562012">
        <w:t>it is</w:t>
      </w:r>
      <w:r w:rsidR="009245FA">
        <w:t xml:space="preserve"> on the </w:t>
      </w:r>
      <w:r w:rsidR="009245FA" w:rsidRPr="00562012">
        <w:rPr>
          <w:i/>
        </w:rPr>
        <w:t>utility</w:t>
      </w:r>
      <w:r w:rsidR="009245FA">
        <w:t xml:space="preserve"> of education. The second debate began in Berlin in the early 19</w:t>
      </w:r>
      <w:r w:rsidR="009245FA" w:rsidRPr="009245FA">
        <w:rPr>
          <w:vertAlign w:val="superscript"/>
        </w:rPr>
        <w:t>th</w:t>
      </w:r>
      <w:r w:rsidR="009245FA">
        <w:t xml:space="preserve"> century, was carried across the Atlantic and soon became a key element in the way theological seminaries understood their objectives in North America and </w:t>
      </w:r>
      <w:r w:rsidR="00562012">
        <w:t xml:space="preserve">it </w:t>
      </w:r>
      <w:r w:rsidR="009245FA">
        <w:t xml:space="preserve">is on seeing theological education as </w:t>
      </w:r>
      <w:r w:rsidR="009245FA" w:rsidRPr="00562012">
        <w:rPr>
          <w:i/>
        </w:rPr>
        <w:t>professional</w:t>
      </w:r>
      <w:r w:rsidR="009245FA">
        <w:t xml:space="preserve"> training. The third debate began in Latin America in the late 1960s, mostly among</w:t>
      </w:r>
      <w:r w:rsidR="00F67A19">
        <w:t xml:space="preserve"> Roman Catholic theologians, disturbing </w:t>
      </w:r>
      <w:r w:rsidR="009245FA">
        <w:t>Rome and fo</w:t>
      </w:r>
      <w:r w:rsidR="00F67A19">
        <w:t>rcing</w:t>
      </w:r>
      <w:r w:rsidR="009245FA">
        <w:t xml:space="preserve"> theologians all over the world, not least in Africa and Asia, to re-consider their job</w:t>
      </w:r>
      <w:r w:rsidR="00F67A19">
        <w:t xml:space="preserve"> and</w:t>
      </w:r>
      <w:r w:rsidR="009245FA">
        <w:t xml:space="preserve"> is liberation theology’s </w:t>
      </w:r>
      <w:r w:rsidR="00F67A19">
        <w:t>w</w:t>
      </w:r>
      <w:r w:rsidR="009245FA">
        <w:t xml:space="preserve">ay of linking theology to </w:t>
      </w:r>
      <w:r w:rsidR="009245FA" w:rsidRPr="00562012">
        <w:rPr>
          <w:i/>
        </w:rPr>
        <w:t>praxis</w:t>
      </w:r>
      <w:r w:rsidR="009245FA">
        <w:t xml:space="preserve">. </w:t>
      </w:r>
    </w:p>
    <w:p w:rsidR="00F67A19" w:rsidRDefault="00F67A19">
      <w:r>
        <w:t>The Utility of Education</w:t>
      </w:r>
    </w:p>
    <w:p w:rsidR="00A912F3" w:rsidRDefault="00F67A19">
      <w:r>
        <w:t xml:space="preserve">John Henry Newman’s famous </w:t>
      </w:r>
      <w:r>
        <w:rPr>
          <w:i/>
        </w:rPr>
        <w:t>Lectures on the Scope and Nature of University Education</w:t>
      </w:r>
      <w:r>
        <w:t xml:space="preserve"> delivered in Dublin in 1852</w:t>
      </w:r>
      <w:r w:rsidR="007D5759">
        <w:rPr>
          <w:rStyle w:val="FootnoteReference"/>
        </w:rPr>
        <w:footnoteReference w:id="1"/>
      </w:r>
      <w:r>
        <w:t xml:space="preserve"> were, in part, responding to a debate sparked by Sidney Smith in the Edinburgh Review which attacked the classical education of Oxford and Cambridge. Smith had asserted “What other measure </w:t>
      </w:r>
      <w:r w:rsidR="00562012">
        <w:t>i</w:t>
      </w:r>
      <w:r>
        <w:t>s there of dignity in intellectual labour but usefulness?</w:t>
      </w:r>
      <w:r w:rsidR="007D5759">
        <w:rPr>
          <w:rStyle w:val="FootnoteReference"/>
        </w:rPr>
        <w:footnoteReference w:id="2"/>
      </w:r>
      <w:r>
        <w:t>” For Newman, the dignity was not in direct usefulness but in the development of the mind, it was</w:t>
      </w:r>
      <w:r w:rsidR="00A912F3">
        <w:t xml:space="preserve"> (following Aristotle)</w:t>
      </w:r>
      <w:r>
        <w:t xml:space="preserve"> for enjoyment and “Knowledge is capable of being its own end</w:t>
      </w:r>
      <w:r w:rsidR="007D5759">
        <w:rPr>
          <w:rStyle w:val="FootnoteReference"/>
        </w:rPr>
        <w:footnoteReference w:id="3"/>
      </w:r>
      <w:r>
        <w:t xml:space="preserve">”. </w:t>
      </w:r>
    </w:p>
    <w:p w:rsidR="00F67A19" w:rsidRDefault="00F67A19">
      <w:r>
        <w:t xml:space="preserve">Newman’s writings became the </w:t>
      </w:r>
      <w:r w:rsidR="00A912F3">
        <w:t xml:space="preserve">creators of attitudes </w:t>
      </w:r>
      <w:r>
        <w:t>for the older UK universities</w:t>
      </w:r>
      <w:r w:rsidR="00A912F3">
        <w:t xml:space="preserve">, which kept </w:t>
      </w:r>
      <w:r w:rsidR="00562012">
        <w:t>their distance from</w:t>
      </w:r>
      <w:r w:rsidR="00A912F3">
        <w:t xml:space="preserve"> professional or technical education for many years. Some reconciliation between this idea of a “liberal” university and technical education was attempted by such philosophers as John Dewey</w:t>
      </w:r>
      <w:r w:rsidR="007D5759">
        <w:rPr>
          <w:rStyle w:val="FootnoteReference"/>
        </w:rPr>
        <w:footnoteReference w:id="4"/>
      </w:r>
      <w:r w:rsidR="00A912F3">
        <w:t xml:space="preserve"> and Alfred North Whitehead, </w:t>
      </w:r>
      <w:r w:rsidR="00562012">
        <w:t>and t</w:t>
      </w:r>
      <w:r w:rsidR="00A912F3">
        <w:t>h</w:t>
      </w:r>
      <w:r w:rsidR="00562012">
        <w:t>e</w:t>
      </w:r>
      <w:r w:rsidR="00A912F3">
        <w:t xml:space="preserve"> latter wrote in 1932 “The antithesis between a technical and a liberal education in fallacious. There can be no adequate technical education which is not liberal, and no liberal education which is not technical</w:t>
      </w:r>
      <w:r w:rsidR="00744839">
        <w:rPr>
          <w:rStyle w:val="FootnoteReference"/>
        </w:rPr>
        <w:footnoteReference w:id="5"/>
      </w:r>
      <w:r w:rsidR="00A912F3">
        <w:t>”. As yet, there is little sign of UK universities agreeing with him</w:t>
      </w:r>
      <w:r w:rsidR="00342D87">
        <w:rPr>
          <w:rStyle w:val="FootnoteReference"/>
        </w:rPr>
        <w:footnoteReference w:id="6"/>
      </w:r>
      <w:r w:rsidR="00A912F3">
        <w:t>.</w:t>
      </w:r>
    </w:p>
    <w:p w:rsidR="00A912F3" w:rsidRDefault="00A912F3">
      <w:r>
        <w:t>Theological Education as Professional Training</w:t>
      </w:r>
    </w:p>
    <w:p w:rsidR="00A912F3" w:rsidRDefault="00A912F3">
      <w:r>
        <w:t>Edward Farley sees theological education in the USA as falling into</w:t>
      </w:r>
      <w:r w:rsidR="00562012">
        <w:t xml:space="preserve"> three main periods, </w:t>
      </w:r>
      <w:r>
        <w:t>the latest, from the 1940s onwards</w:t>
      </w:r>
      <w:r w:rsidR="00562012">
        <w:t>,</w:t>
      </w:r>
      <w:r>
        <w:t xml:space="preserve"> being the time when the professional paradigm became dominant – when “ministry bears the sociological marks of a profession</w:t>
      </w:r>
      <w:r w:rsidR="00342D87">
        <w:rPr>
          <w:rStyle w:val="FootnoteReference"/>
        </w:rPr>
        <w:footnoteReference w:id="7"/>
      </w:r>
      <w:r>
        <w:t xml:space="preserve">” and professional training is offered for that task. </w:t>
      </w:r>
      <w:r w:rsidR="00EF4F48">
        <w:t xml:space="preserve">The literature generally traces this professional paradigm back to Freidrich Scheiermacher and </w:t>
      </w:r>
      <w:r w:rsidR="00EF4F48">
        <w:lastRenderedPageBreak/>
        <w:t>his justification for including theology in the task of a research university</w:t>
      </w:r>
      <w:r w:rsidR="00342D87">
        <w:rPr>
          <w:rStyle w:val="FootnoteReference"/>
        </w:rPr>
        <w:footnoteReference w:id="8"/>
      </w:r>
      <w:r w:rsidR="00EF4F48">
        <w:t>. Richard N</w:t>
      </w:r>
      <w:r w:rsidR="00562012">
        <w:t>eibuhr and others developed the idea</w:t>
      </w:r>
      <w:r w:rsidR="00EF4F48">
        <w:t xml:space="preserve"> in the 1950s</w:t>
      </w:r>
      <w:r w:rsidR="00835648">
        <w:rPr>
          <w:rStyle w:val="FootnoteReference"/>
        </w:rPr>
        <w:footnoteReference w:id="9"/>
      </w:r>
      <w:r w:rsidR="00EF4F48">
        <w:t xml:space="preserve"> and, more recently, Hough and Cobb have been associated</w:t>
      </w:r>
      <w:r w:rsidR="00562012">
        <w:t xml:space="preserve"> with the model</w:t>
      </w:r>
      <w:r w:rsidR="009C3D79">
        <w:rPr>
          <w:rStyle w:val="FootnoteReference"/>
        </w:rPr>
        <w:footnoteReference w:id="10"/>
      </w:r>
      <w:r w:rsidR="00EF4F48">
        <w:t xml:space="preserve">. </w:t>
      </w:r>
    </w:p>
    <w:p w:rsidR="00EF4F48" w:rsidRDefault="00EF4F48">
      <w:r>
        <w:t xml:space="preserve">Criticisms however, are significant and will not easily go away.  Few deny that “a profession” is the dominant way </w:t>
      </w:r>
      <w:r w:rsidR="00562012">
        <w:t xml:space="preserve">that </w:t>
      </w:r>
      <w:r>
        <w:t xml:space="preserve">western society delivers services to society, based on a body of specialised knowledge, regulated by peers and creating societal status – such as in medicine and law. Whether such a paradigm is appropriate for Christian service is questionable. It is easy to see forms of clericalism and the assumption of ministerial </w:t>
      </w:r>
      <w:r w:rsidR="005A4DE7">
        <w:t>position</w:t>
      </w:r>
      <w:r>
        <w:t xml:space="preserve"> ari</w:t>
      </w:r>
      <w:r w:rsidR="00F66157">
        <w:t>s</w:t>
      </w:r>
      <w:r>
        <w:t xml:space="preserve">ing </w:t>
      </w:r>
      <w:r w:rsidR="00F66157">
        <w:t>fr</w:t>
      </w:r>
      <w:r>
        <w:t>om this standpoint, not so easy to see Paul and his fellow apostles</w:t>
      </w:r>
      <w:r w:rsidR="00F66157">
        <w:t>, “the scum of the earth and the refuse of the world</w:t>
      </w:r>
      <w:r w:rsidR="00F66157">
        <w:rPr>
          <w:rStyle w:val="FootnoteReference"/>
        </w:rPr>
        <w:footnoteReference w:id="11"/>
      </w:r>
      <w:r w:rsidR="00F66157">
        <w:t>” so described</w:t>
      </w:r>
      <w:r w:rsidR="00562012">
        <w:t>.</w:t>
      </w:r>
      <w:r w:rsidR="00562012" w:rsidRPr="00562012">
        <w:t xml:space="preserve"> </w:t>
      </w:r>
      <w:r w:rsidR="00562012">
        <w:t>We need a model which will support competence but not status</w:t>
      </w:r>
      <w:r w:rsidR="00F66157">
        <w:t>.</w:t>
      </w:r>
      <w:r w:rsidR="00F66157">
        <w:rPr>
          <w:rStyle w:val="FootnoteReference"/>
        </w:rPr>
        <w:footnoteReference w:id="12"/>
      </w:r>
      <w:r w:rsidR="005A4DE7">
        <w:t xml:space="preserve"> </w:t>
      </w:r>
    </w:p>
    <w:p w:rsidR="005A4DE7" w:rsidRDefault="005A4DE7">
      <w:r>
        <w:t>Liberation Theology and Praxis.</w:t>
      </w:r>
    </w:p>
    <w:p w:rsidR="005A4DE7" w:rsidRDefault="005A4DE7">
      <w:r>
        <w:t>From the 1960s onwards, there arose, in Latin America, a new theological methodology that continues to shape the relationship between action and reflection, theory and practice in theological education. Gustavo Guttierez, its most famous author, has described Liberation Theology as “a critical reflection on Christian praxis in the light of the word</w:t>
      </w:r>
      <w:r w:rsidR="00E4230C">
        <w:rPr>
          <w:rStyle w:val="FootnoteReference"/>
        </w:rPr>
        <w:footnoteReference w:id="13"/>
      </w:r>
      <w:r>
        <w:t xml:space="preserve">”. It was a rejection of the way theology has been </w:t>
      </w:r>
      <w:r w:rsidR="008237D2">
        <w:t>perceived</w:t>
      </w:r>
      <w:r>
        <w:t xml:space="preserve"> in European culture – as a rational, scientific</w:t>
      </w:r>
      <w:r w:rsidR="008237D2">
        <w:t xml:space="preserve"> body of knowledge which, because of its relationship to the enlightenment university, has become a disinterested science, without the “bias” of commitment or belief</w:t>
      </w:r>
      <w:r w:rsidR="00F76EF6">
        <w:rPr>
          <w:rStyle w:val="FootnoteReference"/>
        </w:rPr>
        <w:footnoteReference w:id="14"/>
      </w:r>
      <w:r w:rsidR="008237D2">
        <w:t>.</w:t>
      </w:r>
    </w:p>
    <w:p w:rsidR="008237D2" w:rsidRDefault="008237D2">
      <w:r>
        <w:t>Liberation Theology’s hermeneutic turned the relationship between theory and practice on its head. It is not good theology that issues in good practice or excellent study which results in excellent Christian service. Rather, only when Christian</w:t>
      </w:r>
      <w:r w:rsidR="000D2BB0">
        <w:t xml:space="preserve"> life and service are</w:t>
      </w:r>
      <w:r>
        <w:t xml:space="preserve"> right do we have a chance to do good theology. If you are not feeding the poor, you will construct a theology which does not require it of you. Let theologians love first and do theology second. Was not all the theology of the New Testament done by practitioners, working pastors and missionaries?</w:t>
      </w:r>
      <w:r w:rsidR="00F36E5E">
        <w:rPr>
          <w:rStyle w:val="FootnoteReference"/>
        </w:rPr>
        <w:footnoteReference w:id="15"/>
      </w:r>
      <w:r w:rsidR="00562012">
        <w:t xml:space="preserve"> However, </w:t>
      </w:r>
      <w:r w:rsidR="007D5759">
        <w:t xml:space="preserve">some, such as Stackhouse, </w:t>
      </w:r>
      <w:r w:rsidR="00562012">
        <w:t>would find difficult</w:t>
      </w:r>
      <w:r w:rsidR="000D2BB0">
        <w:t>y in</w:t>
      </w:r>
      <w:r w:rsidR="00562012">
        <w:t xml:space="preserve"> </w:t>
      </w:r>
      <w:r w:rsidR="000D2BB0">
        <w:t>the</w:t>
      </w:r>
      <w:r w:rsidR="007D5759">
        <w:t xml:space="preserve"> priority</w:t>
      </w:r>
      <w:r w:rsidR="000D2BB0">
        <w:t xml:space="preserve"> it gives to</w:t>
      </w:r>
      <w:r w:rsidR="007D5759">
        <w:t xml:space="preserve"> praxis</w:t>
      </w:r>
      <w:r w:rsidR="00F76EF6">
        <w:rPr>
          <w:rStyle w:val="FootnoteReference"/>
        </w:rPr>
        <w:footnoteReference w:id="16"/>
      </w:r>
      <w:r w:rsidR="007D5759">
        <w:t>.</w:t>
      </w:r>
    </w:p>
    <w:p w:rsidR="009D4FE9" w:rsidRDefault="009D4FE9"/>
    <w:p w:rsidR="009D4FE9" w:rsidRDefault="009D4FE9"/>
    <w:p w:rsidR="008237D2" w:rsidRDefault="009570D2">
      <w:r>
        <w:lastRenderedPageBreak/>
        <w:t>In C</w:t>
      </w:r>
      <w:r w:rsidR="008237D2">
        <w:t>onclusion.</w:t>
      </w:r>
    </w:p>
    <w:p w:rsidR="008237D2" w:rsidRDefault="008237D2">
      <w:r>
        <w:t>Just as Polanyi asserted that it is “intellectual love” not utility that drives science</w:t>
      </w:r>
      <w:r w:rsidR="00F36E5E">
        <w:rPr>
          <w:rStyle w:val="FootnoteReference"/>
        </w:rPr>
        <w:footnoteReference w:id="17"/>
      </w:r>
      <w:r>
        <w:t>, so the theological educator</w:t>
      </w:r>
      <w:r w:rsidR="002B0D32">
        <w:t xml:space="preserve"> must assert </w:t>
      </w:r>
      <w:r w:rsidR="007D5759">
        <w:t>first</w:t>
      </w:r>
      <w:r w:rsidR="002B0D32">
        <w:t xml:space="preserve"> the love of God which seeks to know Him and His truth better, regardless of the resultant vocational utility of what we learn about God. </w:t>
      </w:r>
      <w:r w:rsidR="00562012">
        <w:t>In theology, w</w:t>
      </w:r>
      <w:r w:rsidR="002B0D32">
        <w:t xml:space="preserve">e can never raise the question “does it work?” </w:t>
      </w:r>
      <w:r w:rsidR="00562012">
        <w:t>above the question “is it true?”</w:t>
      </w:r>
      <w:r w:rsidR="002B0D32">
        <w:t xml:space="preserve"> </w:t>
      </w:r>
    </w:p>
    <w:p w:rsidR="007A0874" w:rsidRPr="00F67A19" w:rsidRDefault="007D5759">
      <w:r>
        <w:t>Yet</w:t>
      </w:r>
      <w:r w:rsidR="007A0874">
        <w:t>, any love of God which does not produce and is not prod</w:t>
      </w:r>
      <w:r w:rsidR="00562012">
        <w:t xml:space="preserve">uced by love of one’s neighbour, any building </w:t>
      </w:r>
      <w:r w:rsidR="007A0874">
        <w:t>of a theological edifice without a building of the kingdom, is c</w:t>
      </w:r>
      <w:r>
        <w:t>l</w:t>
      </w:r>
      <w:r w:rsidR="00562012">
        <w:t>early antagonistic to the New T</w:t>
      </w:r>
      <w:r w:rsidR="007A0874">
        <w:t>estament and the Christian heart. Vocational courses without the urge to know and academic cou</w:t>
      </w:r>
      <w:r w:rsidR="00562012">
        <w:t>r</w:t>
      </w:r>
      <w:r>
        <w:t>ses without the urge to do</w:t>
      </w:r>
      <w:r w:rsidR="00562012">
        <w:t>,</w:t>
      </w:r>
      <w:r w:rsidR="007A0874">
        <w:t xml:space="preserve"> are equally sterile.</w:t>
      </w:r>
      <w:r>
        <w:t xml:space="preserve"> The contemporary exploration of the relationship between the tw</w:t>
      </w:r>
      <w:r w:rsidR="009D4FE9">
        <w:t>o will be greatly helped by</w:t>
      </w:r>
      <w:r>
        <w:t xml:space="preserve"> attention to history. </w:t>
      </w:r>
    </w:p>
    <w:p w:rsidR="00F67A19" w:rsidRPr="009245FA" w:rsidRDefault="00F67A19"/>
    <w:sectPr w:rsidR="00F67A19" w:rsidRPr="009245FA" w:rsidSect="00977E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100" w:rsidRDefault="00C02100" w:rsidP="00F66157">
      <w:pPr>
        <w:spacing w:after="0" w:line="240" w:lineRule="auto"/>
      </w:pPr>
      <w:r>
        <w:separator/>
      </w:r>
    </w:p>
  </w:endnote>
  <w:endnote w:type="continuationSeparator" w:id="0">
    <w:p w:rsidR="00C02100" w:rsidRDefault="00C02100" w:rsidP="00F66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100" w:rsidRDefault="00C02100" w:rsidP="00F66157">
      <w:pPr>
        <w:spacing w:after="0" w:line="240" w:lineRule="auto"/>
      </w:pPr>
      <w:r>
        <w:separator/>
      </w:r>
    </w:p>
  </w:footnote>
  <w:footnote w:type="continuationSeparator" w:id="0">
    <w:p w:rsidR="00C02100" w:rsidRDefault="00C02100" w:rsidP="00F66157">
      <w:pPr>
        <w:spacing w:after="0" w:line="240" w:lineRule="auto"/>
      </w:pPr>
      <w:r>
        <w:continuationSeparator/>
      </w:r>
    </w:p>
  </w:footnote>
  <w:footnote w:id="1">
    <w:p w:rsidR="000D2BB0" w:rsidRPr="007D5759" w:rsidRDefault="000D2BB0">
      <w:pPr>
        <w:pStyle w:val="FootnoteText"/>
        <w:rPr>
          <w:i/>
        </w:rPr>
      </w:pPr>
      <w:r>
        <w:rPr>
          <w:rStyle w:val="FootnoteReference"/>
        </w:rPr>
        <w:footnoteRef/>
      </w:r>
      <w:r>
        <w:t xml:space="preserve"> John Henry Newman </w:t>
      </w:r>
      <w:r>
        <w:rPr>
          <w:i/>
        </w:rPr>
        <w:t>The Idea of a University (London; Dent, 1965).</w:t>
      </w:r>
    </w:p>
  </w:footnote>
  <w:footnote w:id="2">
    <w:p w:rsidR="000D2BB0" w:rsidRPr="007D5759" w:rsidRDefault="000D2BB0">
      <w:pPr>
        <w:pStyle w:val="FootnoteText"/>
      </w:pPr>
      <w:r>
        <w:rPr>
          <w:rStyle w:val="FootnoteReference"/>
        </w:rPr>
        <w:footnoteRef/>
      </w:r>
      <w:r>
        <w:t xml:space="preserve"> </w:t>
      </w:r>
      <w:r>
        <w:rPr>
          <w:i/>
        </w:rPr>
        <w:t xml:space="preserve">Edinburgh Review, </w:t>
      </w:r>
      <w:r>
        <w:t>No. xxix, p52.</w:t>
      </w:r>
    </w:p>
  </w:footnote>
  <w:footnote w:id="3">
    <w:p w:rsidR="000D2BB0" w:rsidRDefault="000D2BB0">
      <w:pPr>
        <w:pStyle w:val="FootnoteText"/>
      </w:pPr>
      <w:r>
        <w:rPr>
          <w:rStyle w:val="FootnoteReference"/>
        </w:rPr>
        <w:footnoteRef/>
      </w:r>
      <w:r>
        <w:t xml:space="preserve"> Newman Op. Cit. p83.</w:t>
      </w:r>
    </w:p>
  </w:footnote>
  <w:footnote w:id="4">
    <w:p w:rsidR="000D2BB0" w:rsidRPr="00744839" w:rsidRDefault="000D2BB0">
      <w:pPr>
        <w:pStyle w:val="FootnoteText"/>
      </w:pPr>
      <w:r>
        <w:rPr>
          <w:rStyle w:val="FootnoteReference"/>
        </w:rPr>
        <w:footnoteRef/>
      </w:r>
      <w:r>
        <w:t xml:space="preserve"> Cf. John Dewey </w:t>
      </w:r>
      <w:r>
        <w:rPr>
          <w:i/>
        </w:rPr>
        <w:t xml:space="preserve">Democracy and Education </w:t>
      </w:r>
      <w:r>
        <w:t>(New York; Macmillan, 1916).</w:t>
      </w:r>
    </w:p>
  </w:footnote>
  <w:footnote w:id="5">
    <w:p w:rsidR="000D2BB0" w:rsidRPr="00744839" w:rsidRDefault="000D2BB0">
      <w:pPr>
        <w:pStyle w:val="FootnoteText"/>
      </w:pPr>
      <w:r>
        <w:rPr>
          <w:rStyle w:val="FootnoteReference"/>
        </w:rPr>
        <w:footnoteRef/>
      </w:r>
      <w:r>
        <w:t xml:space="preserve"> A.N.Whitehead </w:t>
      </w:r>
      <w:r>
        <w:rPr>
          <w:i/>
        </w:rPr>
        <w:t xml:space="preserve">The Aims of Education and Other Essays </w:t>
      </w:r>
      <w:r>
        <w:t>(London; Ernest Best, 1932, imprint used 1962), p74.</w:t>
      </w:r>
    </w:p>
  </w:footnote>
  <w:footnote w:id="6">
    <w:p w:rsidR="000D2BB0" w:rsidRPr="00342D87" w:rsidRDefault="000D2BB0">
      <w:pPr>
        <w:pStyle w:val="FootnoteText"/>
      </w:pPr>
      <w:r>
        <w:rPr>
          <w:rStyle w:val="FootnoteReference"/>
        </w:rPr>
        <w:footnoteRef/>
      </w:r>
      <w:r>
        <w:t xml:space="preserve"> In this area, it is worth also reading Jose Ortega Y Gasset </w:t>
      </w:r>
      <w:r>
        <w:rPr>
          <w:i/>
        </w:rPr>
        <w:t>Mission of the University</w:t>
      </w:r>
      <w:r>
        <w:t xml:space="preserve"> Translated by Howard Lee Nostrand (London; Routlegde and Kegan Paul, 1963).</w:t>
      </w:r>
    </w:p>
  </w:footnote>
  <w:footnote w:id="7">
    <w:p w:rsidR="000D2BB0" w:rsidRPr="00342D87" w:rsidRDefault="000D2BB0">
      <w:pPr>
        <w:pStyle w:val="FootnoteText"/>
      </w:pPr>
      <w:r>
        <w:rPr>
          <w:rStyle w:val="FootnoteReference"/>
        </w:rPr>
        <w:footnoteRef/>
      </w:r>
      <w:r>
        <w:t xml:space="preserve"> Edward Farley </w:t>
      </w:r>
      <w:r>
        <w:rPr>
          <w:i/>
        </w:rPr>
        <w:t xml:space="preserve">Theologia; the Fragmentation and Unity of Theological Education </w:t>
      </w:r>
      <w:r>
        <w:t>(Philadelphia; Fortress Press, 1983), p11.</w:t>
      </w:r>
    </w:p>
  </w:footnote>
  <w:footnote w:id="8">
    <w:p w:rsidR="000D2BB0" w:rsidRPr="00835648" w:rsidRDefault="000D2BB0">
      <w:pPr>
        <w:pStyle w:val="FootnoteText"/>
      </w:pPr>
      <w:r>
        <w:rPr>
          <w:rStyle w:val="FootnoteReference"/>
        </w:rPr>
        <w:footnoteRef/>
      </w:r>
      <w:r>
        <w:t xml:space="preserve"> Freidrich Schleiermacher </w:t>
      </w:r>
      <w:r>
        <w:rPr>
          <w:i/>
        </w:rPr>
        <w:t>A Brief Outline of the Study of Theology</w:t>
      </w:r>
      <w:r>
        <w:t xml:space="preserve"> Translated by Terrance N. Tice (Richmond; John Knox Press, 1966). Daniel Fallon </w:t>
      </w:r>
      <w:r>
        <w:rPr>
          <w:i/>
        </w:rPr>
        <w:t xml:space="preserve"> The German University</w:t>
      </w:r>
      <w:r>
        <w:t xml:space="preserve"> (Boulder, Colorado; Assoc. University Press, 1980).</w:t>
      </w:r>
    </w:p>
  </w:footnote>
  <w:footnote w:id="9">
    <w:p w:rsidR="000D2BB0" w:rsidRPr="00835648" w:rsidRDefault="000D2BB0">
      <w:pPr>
        <w:pStyle w:val="FootnoteText"/>
      </w:pPr>
      <w:r>
        <w:rPr>
          <w:rStyle w:val="FootnoteReference"/>
        </w:rPr>
        <w:footnoteRef/>
      </w:r>
      <w:r>
        <w:t xml:space="preserve"> H. Richard Niebuhr, Daniel Day Williams, James Gustafson </w:t>
      </w:r>
      <w:r w:rsidR="009D4FE9">
        <w:rPr>
          <w:i/>
        </w:rPr>
        <w:t>The Purpose of the Church and its M</w:t>
      </w:r>
      <w:r>
        <w:rPr>
          <w:i/>
        </w:rPr>
        <w:t>inistry</w:t>
      </w:r>
      <w:r>
        <w:t xml:space="preserve"> (New York; Harper, 1956). Cf. </w:t>
      </w:r>
      <w:r>
        <w:rPr>
          <w:i/>
        </w:rPr>
        <w:t xml:space="preserve">Theological Education </w:t>
      </w:r>
      <w:r>
        <w:t>, 1988 supplement II, vol.xxiv, pp2f.</w:t>
      </w:r>
    </w:p>
  </w:footnote>
  <w:footnote w:id="10">
    <w:p w:rsidR="000D2BB0" w:rsidRPr="009C3D79" w:rsidRDefault="000D2BB0">
      <w:pPr>
        <w:pStyle w:val="FootnoteText"/>
      </w:pPr>
      <w:r>
        <w:rPr>
          <w:rStyle w:val="FootnoteReference"/>
        </w:rPr>
        <w:footnoteRef/>
      </w:r>
      <w:r>
        <w:t xml:space="preserve"> Joseph C. Hough Jnr. </w:t>
      </w:r>
      <w:r w:rsidR="009D4FE9">
        <w:t>a</w:t>
      </w:r>
      <w:r>
        <w:t xml:space="preserve">nd John B. Cobb Jnr. </w:t>
      </w:r>
      <w:r>
        <w:rPr>
          <w:i/>
        </w:rPr>
        <w:t xml:space="preserve">Christian Identity and Theological Education </w:t>
      </w:r>
      <w:r>
        <w:t xml:space="preserve">(Chico, California; Scholars Press, 1985). </w:t>
      </w:r>
    </w:p>
  </w:footnote>
  <w:footnote w:id="11">
    <w:p w:rsidR="000D2BB0" w:rsidRDefault="000D2BB0">
      <w:pPr>
        <w:pStyle w:val="FootnoteText"/>
      </w:pPr>
      <w:r>
        <w:rPr>
          <w:rStyle w:val="FootnoteReference"/>
        </w:rPr>
        <w:footnoteRef/>
      </w:r>
      <w:r>
        <w:t xml:space="preserve"> 1Cor. 4v13</w:t>
      </w:r>
      <w:r w:rsidR="009D4FE9">
        <w:t>.</w:t>
      </w:r>
    </w:p>
  </w:footnote>
  <w:footnote w:id="12">
    <w:p w:rsidR="000D2BB0" w:rsidRDefault="000D2BB0">
      <w:pPr>
        <w:pStyle w:val="FootnoteText"/>
      </w:pPr>
      <w:r>
        <w:rPr>
          <w:rStyle w:val="FootnoteReference"/>
        </w:rPr>
        <w:footnoteRef/>
      </w:r>
      <w:r>
        <w:t xml:space="preserve"> Cf.  Jackson Carroll “The Professional Model of Ministry, is it Worth Saving ?” in </w:t>
      </w:r>
      <w:r>
        <w:rPr>
          <w:i/>
        </w:rPr>
        <w:t xml:space="preserve">Theological Education </w:t>
      </w:r>
      <w:r w:rsidRPr="006E75A9">
        <w:t>21:2, Spring 1985, pp7-48.</w:t>
      </w:r>
      <w:r>
        <w:t xml:space="preserve"> David Kelsey  </w:t>
      </w:r>
      <w:r>
        <w:rPr>
          <w:i/>
        </w:rPr>
        <w:t xml:space="preserve">Between Athens and Berlin </w:t>
      </w:r>
      <w:r>
        <w:t xml:space="preserve">(Grand Rapids; Eerdmans, 1993). Linda Carnell , </w:t>
      </w:r>
      <w:r>
        <w:rPr>
          <w:i/>
        </w:rPr>
        <w:t xml:space="preserve">Theological Education </w:t>
      </w:r>
      <w:r w:rsidRPr="00D359F4">
        <w:rPr>
          <w:i/>
        </w:rPr>
        <w:t>Matters</w:t>
      </w:r>
      <w:r>
        <w:t xml:space="preserve"> (New</w:t>
      </w:r>
      <w:r w:rsidR="009D4FE9">
        <w:t>burgh, IN; EDCOT Press, 2006)</w:t>
      </w:r>
      <w:r>
        <w:t>.</w:t>
      </w:r>
    </w:p>
  </w:footnote>
  <w:footnote w:id="13">
    <w:p w:rsidR="000D2BB0" w:rsidRPr="00E4230C" w:rsidRDefault="000D2BB0">
      <w:pPr>
        <w:pStyle w:val="FootnoteText"/>
      </w:pPr>
      <w:r>
        <w:rPr>
          <w:rStyle w:val="FootnoteReference"/>
        </w:rPr>
        <w:footnoteRef/>
      </w:r>
      <w:r>
        <w:t xml:space="preserve"> Gustavo Gutierez  </w:t>
      </w:r>
      <w:r>
        <w:rPr>
          <w:i/>
        </w:rPr>
        <w:t xml:space="preserve">A Theology of Liberation </w:t>
      </w:r>
      <w:r>
        <w:t>(London; SCM, 1971, imprint used 1988), pxxxix.</w:t>
      </w:r>
    </w:p>
  </w:footnote>
  <w:footnote w:id="14">
    <w:p w:rsidR="000D2BB0" w:rsidRPr="00F76EF6" w:rsidRDefault="000D2BB0">
      <w:pPr>
        <w:pStyle w:val="FootnoteText"/>
      </w:pPr>
      <w:r>
        <w:rPr>
          <w:rStyle w:val="FootnoteReference"/>
        </w:rPr>
        <w:footnoteRef/>
      </w:r>
      <w:r w:rsidR="009D4FE9">
        <w:t xml:space="preserve"> Cf. Jua</w:t>
      </w:r>
      <w:r>
        <w:t xml:space="preserve">n Luis Segundo </w:t>
      </w:r>
      <w:r>
        <w:rPr>
          <w:i/>
        </w:rPr>
        <w:t xml:space="preserve">The Liberation of Theology </w:t>
      </w:r>
      <w:r>
        <w:t xml:space="preserve">(New York; Orbis, 1975). </w:t>
      </w:r>
    </w:p>
  </w:footnote>
  <w:footnote w:id="15">
    <w:p w:rsidR="000D2BB0" w:rsidRPr="00F36E5E" w:rsidRDefault="000D2BB0">
      <w:pPr>
        <w:pStyle w:val="FootnoteText"/>
      </w:pPr>
      <w:r>
        <w:rPr>
          <w:rStyle w:val="FootnoteReference"/>
        </w:rPr>
        <w:footnoteRef/>
      </w:r>
      <w:r>
        <w:t xml:space="preserve"> Cf. J</w:t>
      </w:r>
      <w:r w:rsidR="009D4FE9">
        <w:t>.</w:t>
      </w:r>
      <w:r>
        <w:t xml:space="preserve"> Andrew Kirk </w:t>
      </w:r>
      <w:r>
        <w:rPr>
          <w:i/>
        </w:rPr>
        <w:t>Theology and the Third World Church</w:t>
      </w:r>
      <w:r>
        <w:t xml:space="preserve"> (Exeter; Paternoster, 1983).</w:t>
      </w:r>
    </w:p>
  </w:footnote>
  <w:footnote w:id="16">
    <w:p w:rsidR="000D2BB0" w:rsidRPr="00F76EF6" w:rsidRDefault="000D2BB0">
      <w:pPr>
        <w:pStyle w:val="FootnoteText"/>
      </w:pPr>
      <w:r>
        <w:rPr>
          <w:rStyle w:val="FootnoteReference"/>
        </w:rPr>
        <w:footnoteRef/>
      </w:r>
      <w:r>
        <w:t xml:space="preserve"> Max Stackhouse </w:t>
      </w:r>
      <w:r>
        <w:rPr>
          <w:i/>
        </w:rPr>
        <w:t>Apologia</w:t>
      </w:r>
      <w:r>
        <w:t xml:space="preserve">; </w:t>
      </w:r>
      <w:r w:rsidRPr="00F76EF6">
        <w:rPr>
          <w:i/>
        </w:rPr>
        <w:t>Contextualisation, Globalisation and Mission in Theological Education</w:t>
      </w:r>
      <w:r>
        <w:rPr>
          <w:i/>
        </w:rPr>
        <w:t xml:space="preserve"> </w:t>
      </w:r>
      <w:r>
        <w:t>(Grand Rapids; Eerdmans, 1988).</w:t>
      </w:r>
    </w:p>
  </w:footnote>
  <w:footnote w:id="17">
    <w:p w:rsidR="000D2BB0" w:rsidRPr="00F36E5E" w:rsidRDefault="000D2BB0">
      <w:pPr>
        <w:pStyle w:val="FootnoteText"/>
      </w:pPr>
      <w:r>
        <w:rPr>
          <w:rStyle w:val="FootnoteReference"/>
        </w:rPr>
        <w:footnoteRef/>
      </w:r>
      <w:r>
        <w:t xml:space="preserve"> Michael Polanyi </w:t>
      </w:r>
      <w:r>
        <w:rPr>
          <w:i/>
        </w:rPr>
        <w:t xml:space="preserve">Personal Knowledge, Towards a Post-Critical Philosophy </w:t>
      </w:r>
      <w:r>
        <w:t>(London; Routledge and Kegan Paul, 1958), p312.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245FA"/>
    <w:rsid w:val="000D2BB0"/>
    <w:rsid w:val="002B0D32"/>
    <w:rsid w:val="00342D87"/>
    <w:rsid w:val="00562012"/>
    <w:rsid w:val="005A4DE7"/>
    <w:rsid w:val="0063480B"/>
    <w:rsid w:val="006E75A9"/>
    <w:rsid w:val="00744839"/>
    <w:rsid w:val="007A0874"/>
    <w:rsid w:val="007D5759"/>
    <w:rsid w:val="008237D2"/>
    <w:rsid w:val="00835648"/>
    <w:rsid w:val="009245FA"/>
    <w:rsid w:val="009570D2"/>
    <w:rsid w:val="00977E15"/>
    <w:rsid w:val="009C3D79"/>
    <w:rsid w:val="009D4FE9"/>
    <w:rsid w:val="00A912F3"/>
    <w:rsid w:val="00C02100"/>
    <w:rsid w:val="00D359F4"/>
    <w:rsid w:val="00E4230C"/>
    <w:rsid w:val="00EF4F48"/>
    <w:rsid w:val="00F36E5E"/>
    <w:rsid w:val="00F66157"/>
    <w:rsid w:val="00F67A19"/>
    <w:rsid w:val="00F76E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E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661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6157"/>
    <w:rPr>
      <w:sz w:val="20"/>
      <w:szCs w:val="20"/>
    </w:rPr>
  </w:style>
  <w:style w:type="character" w:styleId="FootnoteReference">
    <w:name w:val="footnote reference"/>
    <w:basedOn w:val="DefaultParagraphFont"/>
    <w:uiPriority w:val="99"/>
    <w:semiHidden/>
    <w:unhideWhenUsed/>
    <w:rsid w:val="00F6615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32722B0-D5FE-4B59-8675-C3282C16E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3</Pages>
  <Words>857</Words>
  <Characters>4886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BBC</Company>
  <LinksUpToDate>false</LinksUpToDate>
  <CharactersWithSpaces>5732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gcheesman</dc:creator>
  <cp:lastModifiedBy>graham</cp:lastModifiedBy>
  <cp:revision>11</cp:revision>
  <cp:lastPrinted>2008-05-28T12:04:00Z</cp:lastPrinted>
  <dcterms:created xsi:type="dcterms:W3CDTF">2008-05-28T08:11:00Z</dcterms:created>
  <dcterms:modified xsi:type="dcterms:W3CDTF">2010-10-28T06:46:00Z</dcterms:modified>
</cp:coreProperties>
</file>