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41" w:rsidRDefault="00800841" w:rsidP="005B3212">
      <w:pPr>
        <w:pStyle w:val="Title"/>
        <w:pBdr>
          <w:bottom w:val="none" w:sz="0" w:space="0" w:color="auto"/>
        </w:pBdr>
        <w:jc w:val="center"/>
        <w:rPr>
          <w:lang w:val="en-US"/>
        </w:rPr>
      </w:pPr>
      <w:r>
        <w:rPr>
          <w:lang w:val="en-US"/>
        </w:rPr>
        <w:t>“</w:t>
      </w:r>
      <w:r w:rsidR="00F30CE5">
        <w:rPr>
          <w:lang w:val="en-US"/>
        </w:rPr>
        <w:t>One D</w:t>
      </w:r>
      <w:r w:rsidR="005B3212">
        <w:rPr>
          <w:lang w:val="en-US"/>
        </w:rPr>
        <w:t>oes</w:t>
      </w:r>
      <w:r w:rsidR="00F30CE5">
        <w:rPr>
          <w:lang w:val="en-US"/>
        </w:rPr>
        <w:t xml:space="preserve"> Not Live on Bread A</w:t>
      </w:r>
      <w:r>
        <w:rPr>
          <w:lang w:val="en-US"/>
        </w:rPr>
        <w:t>lone”:</w:t>
      </w:r>
    </w:p>
    <w:p w:rsidR="009A065C" w:rsidRDefault="009A065C" w:rsidP="00745109">
      <w:pPr>
        <w:pStyle w:val="Title"/>
        <w:pBdr>
          <w:bottom w:val="none" w:sz="0" w:space="0" w:color="auto"/>
        </w:pBdr>
        <w:jc w:val="center"/>
        <w:rPr>
          <w:lang w:val="en-US"/>
        </w:rPr>
      </w:pPr>
      <w:r>
        <w:rPr>
          <w:lang w:val="en-US"/>
        </w:rPr>
        <w:t>Theological</w:t>
      </w:r>
      <w:r w:rsidR="00800841">
        <w:rPr>
          <w:lang w:val="en-US"/>
        </w:rPr>
        <w:t xml:space="preserve"> Education </w:t>
      </w:r>
      <w:r w:rsidR="00745109">
        <w:rPr>
          <w:lang w:val="en-US"/>
        </w:rPr>
        <w:t>as Prophetism</w:t>
      </w:r>
      <w:r w:rsidR="00800841">
        <w:rPr>
          <w:lang w:val="en-US"/>
        </w:rPr>
        <w:t xml:space="preserve"> </w:t>
      </w:r>
    </w:p>
    <w:p w:rsidR="00800841" w:rsidRDefault="002867CE" w:rsidP="00F30CE5">
      <w:pPr>
        <w:spacing w:after="0"/>
        <w:jc w:val="center"/>
        <w:rPr>
          <w:sz w:val="28"/>
          <w:szCs w:val="24"/>
          <w:lang w:val="en-US"/>
        </w:rPr>
      </w:pPr>
      <w:proofErr w:type="spellStart"/>
      <w:r w:rsidRPr="002867CE">
        <w:rPr>
          <w:sz w:val="28"/>
          <w:szCs w:val="24"/>
          <w:lang w:val="en-US"/>
        </w:rPr>
        <w:t>Myrto</w:t>
      </w:r>
      <w:proofErr w:type="spellEnd"/>
      <w:r w:rsidRPr="002867CE">
        <w:rPr>
          <w:sz w:val="28"/>
          <w:szCs w:val="24"/>
          <w:lang w:val="en-US"/>
        </w:rPr>
        <w:t xml:space="preserve"> </w:t>
      </w:r>
      <w:proofErr w:type="spellStart"/>
      <w:r w:rsidRPr="002867CE">
        <w:rPr>
          <w:sz w:val="28"/>
          <w:szCs w:val="24"/>
          <w:lang w:val="en-US"/>
        </w:rPr>
        <w:t>Theocharous</w:t>
      </w:r>
      <w:proofErr w:type="spellEnd"/>
    </w:p>
    <w:p w:rsidR="002867CE" w:rsidRDefault="002867CE" w:rsidP="00745109">
      <w:pPr>
        <w:spacing w:after="0" w:line="240" w:lineRule="auto"/>
        <w:jc w:val="center"/>
        <w:rPr>
          <w:i/>
          <w:iCs/>
          <w:lang w:val="en-US"/>
        </w:rPr>
      </w:pPr>
      <w:r w:rsidRPr="00745109">
        <w:rPr>
          <w:i/>
          <w:iCs/>
          <w:lang w:val="en-US"/>
        </w:rPr>
        <w:t>Greek Bible College, Athens, Greece</w:t>
      </w:r>
    </w:p>
    <w:p w:rsidR="00745109" w:rsidRPr="00745109" w:rsidRDefault="00745109" w:rsidP="00745109">
      <w:pPr>
        <w:spacing w:after="0" w:line="240" w:lineRule="auto"/>
        <w:jc w:val="center"/>
        <w:rPr>
          <w:i/>
          <w:iCs/>
          <w:lang w:val="en-US"/>
        </w:rPr>
      </w:pPr>
    </w:p>
    <w:p w:rsidR="002867CE" w:rsidRPr="00745109" w:rsidRDefault="002867CE" w:rsidP="009F7414">
      <w:pPr>
        <w:spacing w:after="0" w:line="240" w:lineRule="auto"/>
        <w:jc w:val="center"/>
        <w:rPr>
          <w:lang w:val="en-US"/>
        </w:rPr>
      </w:pPr>
      <w:r w:rsidRPr="00745109">
        <w:rPr>
          <w:lang w:val="en-US"/>
        </w:rPr>
        <w:t xml:space="preserve">Presented </w:t>
      </w:r>
      <w:r w:rsidR="009F7414">
        <w:rPr>
          <w:lang w:val="en-US"/>
        </w:rPr>
        <w:t>at the</w:t>
      </w:r>
    </w:p>
    <w:p w:rsidR="00745109" w:rsidRPr="00745109" w:rsidRDefault="00745109" w:rsidP="00745109">
      <w:pPr>
        <w:spacing w:after="0" w:line="240" w:lineRule="auto"/>
        <w:jc w:val="center"/>
        <w:rPr>
          <w:lang w:val="en-US"/>
        </w:rPr>
      </w:pPr>
      <w:r w:rsidRPr="00745109">
        <w:rPr>
          <w:lang w:val="en-US"/>
        </w:rPr>
        <w:t>ICETE International Consultation for Theological Educators</w:t>
      </w:r>
    </w:p>
    <w:p w:rsidR="00745109" w:rsidRDefault="00745109" w:rsidP="00745109">
      <w:pPr>
        <w:spacing w:after="0" w:line="240" w:lineRule="auto"/>
        <w:jc w:val="center"/>
        <w:rPr>
          <w:i/>
          <w:iCs/>
          <w:lang w:val="en-US"/>
        </w:rPr>
      </w:pPr>
      <w:r w:rsidRPr="00745109">
        <w:rPr>
          <w:i/>
          <w:iCs/>
          <w:lang w:val="en-US"/>
        </w:rPr>
        <w:t>Nairobi, Kenya</w:t>
      </w:r>
    </w:p>
    <w:p w:rsidR="009F7414" w:rsidRPr="00745109" w:rsidRDefault="009F7414" w:rsidP="00745109">
      <w:pPr>
        <w:spacing w:after="0" w:line="240" w:lineRule="auto"/>
        <w:jc w:val="center"/>
        <w:rPr>
          <w:i/>
          <w:iCs/>
          <w:lang w:val="en-US"/>
        </w:rPr>
      </w:pPr>
      <w:r>
        <w:rPr>
          <w:i/>
          <w:iCs/>
          <w:lang w:val="en-US"/>
        </w:rPr>
        <w:t>15-19 October 2012</w:t>
      </w:r>
    </w:p>
    <w:p w:rsidR="002867CE" w:rsidRPr="002867CE" w:rsidRDefault="002867CE" w:rsidP="002867CE">
      <w:pPr>
        <w:rPr>
          <w:lang w:val="en-US"/>
        </w:rPr>
      </w:pPr>
    </w:p>
    <w:p w:rsidR="00B30548" w:rsidRDefault="00B30548" w:rsidP="006B2683">
      <w:pPr>
        <w:pStyle w:val="Heading1"/>
        <w:spacing w:before="0"/>
        <w:contextualSpacing/>
        <w:jc w:val="both"/>
        <w:rPr>
          <w:lang w:val="en-US"/>
        </w:rPr>
      </w:pPr>
      <w:r>
        <w:rPr>
          <w:lang w:val="en-US"/>
        </w:rPr>
        <w:t>Introduction</w:t>
      </w:r>
    </w:p>
    <w:p w:rsidR="00793A2E" w:rsidRDefault="00B60B6B" w:rsidP="009B7262">
      <w:pPr>
        <w:contextualSpacing/>
        <w:jc w:val="both"/>
        <w:rPr>
          <w:lang w:val="en-US"/>
        </w:rPr>
      </w:pPr>
      <w:r>
        <w:rPr>
          <w:lang w:val="en-US"/>
        </w:rPr>
        <w:t xml:space="preserve">Recently I asked my friend Rene </w:t>
      </w:r>
      <w:proofErr w:type="spellStart"/>
      <w:r>
        <w:rPr>
          <w:lang w:val="en-US"/>
        </w:rPr>
        <w:t>Futi</w:t>
      </w:r>
      <w:proofErr w:type="spellEnd"/>
      <w:r>
        <w:rPr>
          <w:lang w:val="en-US"/>
        </w:rPr>
        <w:t xml:space="preserve"> </w:t>
      </w:r>
      <w:proofErr w:type="spellStart"/>
      <w:r>
        <w:rPr>
          <w:lang w:val="en-US"/>
        </w:rPr>
        <w:t>Luemba</w:t>
      </w:r>
      <w:proofErr w:type="spellEnd"/>
      <w:r>
        <w:rPr>
          <w:lang w:val="en-US"/>
        </w:rPr>
        <w:t>, a minister from Kinshasa, Congo to tell me what he thinks evangelical theological education should look like. He said: “</w:t>
      </w:r>
      <w:r w:rsidR="00B30548">
        <w:rPr>
          <w:lang w:val="en-US"/>
        </w:rPr>
        <w:t xml:space="preserve">The aim of theological education </w:t>
      </w:r>
      <w:r>
        <w:rPr>
          <w:lang w:val="en-US"/>
        </w:rPr>
        <w:t>must be</w:t>
      </w:r>
      <w:r w:rsidR="00B30548">
        <w:rPr>
          <w:lang w:val="en-US"/>
        </w:rPr>
        <w:t xml:space="preserve"> to </w:t>
      </w:r>
      <w:r w:rsidR="00367E64">
        <w:rPr>
          <w:lang w:val="en-US"/>
        </w:rPr>
        <w:t>produce</w:t>
      </w:r>
      <w:r w:rsidR="00B30548">
        <w:rPr>
          <w:lang w:val="en-US"/>
        </w:rPr>
        <w:t xml:space="preserve"> prophets</w:t>
      </w:r>
      <w:r w:rsidR="00367E64">
        <w:rPr>
          <w:lang w:val="en-US"/>
        </w:rPr>
        <w:t>.</w:t>
      </w:r>
      <w:r>
        <w:rPr>
          <w:lang w:val="en-US"/>
        </w:rPr>
        <w:t>”</w:t>
      </w:r>
      <w:r w:rsidR="001835CC">
        <w:rPr>
          <w:rStyle w:val="FootnoteReference"/>
          <w:lang w:val="en-US"/>
        </w:rPr>
        <w:footnoteReference w:id="1"/>
      </w:r>
      <w:r>
        <w:rPr>
          <w:lang w:val="en-US"/>
        </w:rPr>
        <w:t xml:space="preserve"> His reply was profound and demanded to be unpacked.</w:t>
      </w:r>
      <w:r w:rsidR="00367E64">
        <w:rPr>
          <w:lang w:val="en-US"/>
        </w:rPr>
        <w:t xml:space="preserve"> T</w:t>
      </w:r>
      <w:r w:rsidR="00B30548">
        <w:rPr>
          <w:lang w:val="en-US"/>
        </w:rPr>
        <w:t>heological colleges should be “schools of prophets”</w:t>
      </w:r>
      <w:r w:rsidR="000D4A42">
        <w:rPr>
          <w:lang w:val="en-US"/>
        </w:rPr>
        <w:t xml:space="preserve">, “bands of prophets” or “sons of prophets”—characterizations taken from the earliest stages of prophecy in Israel during Samuel’s, Elijah’s and Elisha’s times. </w:t>
      </w:r>
    </w:p>
    <w:p w:rsidR="00B30548" w:rsidRPr="00B30548" w:rsidRDefault="000D4A42" w:rsidP="00DC1AA9">
      <w:pPr>
        <w:ind w:firstLine="720"/>
        <w:contextualSpacing/>
        <w:jc w:val="both"/>
        <w:rPr>
          <w:lang w:val="en-US"/>
        </w:rPr>
      </w:pPr>
      <w:r>
        <w:rPr>
          <w:lang w:val="en-US"/>
        </w:rPr>
        <w:t>However, prophecy in the Ol</w:t>
      </w:r>
      <w:r w:rsidR="00B60B6B">
        <w:rPr>
          <w:lang w:val="en-US"/>
        </w:rPr>
        <w:t>d Testament wa</w:t>
      </w:r>
      <w:r>
        <w:rPr>
          <w:lang w:val="en-US"/>
        </w:rPr>
        <w:t>s not static.</w:t>
      </w:r>
      <w:r w:rsidR="00B60B6B">
        <w:rPr>
          <w:lang w:val="en-US"/>
        </w:rPr>
        <w:t xml:space="preserve"> </w:t>
      </w:r>
      <w:r w:rsidR="00C11297">
        <w:rPr>
          <w:lang w:val="en-US"/>
        </w:rPr>
        <w:t>T</w:t>
      </w:r>
      <w:r>
        <w:rPr>
          <w:lang w:val="en-US"/>
        </w:rPr>
        <w:t>hroughout Israel’s history the voice of the prophets accompanied God’s people in the best of times and the worst of times. It critiqued, challenged</w:t>
      </w:r>
      <w:r w:rsidR="00C11297">
        <w:rPr>
          <w:lang w:val="en-US"/>
        </w:rPr>
        <w:t>,</w:t>
      </w:r>
      <w:r>
        <w:rPr>
          <w:lang w:val="en-US"/>
        </w:rPr>
        <w:t xml:space="preserve"> condemned but also empowered, comforted and healed. Prophets took God’s revelation seriously</w:t>
      </w:r>
      <w:r w:rsidR="00800841">
        <w:rPr>
          <w:lang w:val="en-US"/>
        </w:rPr>
        <w:t>;</w:t>
      </w:r>
      <w:r>
        <w:rPr>
          <w:lang w:val="en-US"/>
        </w:rPr>
        <w:t xml:space="preserve"> they took God’s people seriously</w:t>
      </w:r>
      <w:r w:rsidR="00800841">
        <w:rPr>
          <w:lang w:val="en-US"/>
        </w:rPr>
        <w:t>;</w:t>
      </w:r>
      <w:r>
        <w:rPr>
          <w:lang w:val="en-US"/>
        </w:rPr>
        <w:t xml:space="preserve"> but</w:t>
      </w:r>
      <w:r w:rsidR="00DC1AA9">
        <w:rPr>
          <w:lang w:val="en-US"/>
        </w:rPr>
        <w:t>,</w:t>
      </w:r>
      <w:r w:rsidR="00800841">
        <w:rPr>
          <w:lang w:val="en-US"/>
        </w:rPr>
        <w:t xml:space="preserve"> they</w:t>
      </w:r>
      <w:r>
        <w:rPr>
          <w:lang w:val="en-US"/>
        </w:rPr>
        <w:t xml:space="preserve"> took their </w:t>
      </w:r>
      <w:r w:rsidR="00800841">
        <w:rPr>
          <w:lang w:val="en-US"/>
        </w:rPr>
        <w:t>ever-changing</w:t>
      </w:r>
      <w:r>
        <w:rPr>
          <w:lang w:val="en-US"/>
        </w:rPr>
        <w:t xml:space="preserve"> context and </w:t>
      </w:r>
      <w:r w:rsidR="009B7262">
        <w:rPr>
          <w:lang w:val="en-US"/>
        </w:rPr>
        <w:t xml:space="preserve">how God worked in </w:t>
      </w:r>
      <w:r>
        <w:rPr>
          <w:lang w:val="en-US"/>
        </w:rPr>
        <w:t>the unfamiliar, hostile surrounding world just as seriously.</w:t>
      </w:r>
      <w:r w:rsidR="00B60B6B">
        <w:rPr>
          <w:lang w:val="en-US"/>
        </w:rPr>
        <w:t xml:space="preserve"> </w:t>
      </w:r>
      <w:r w:rsidR="00C11297">
        <w:rPr>
          <w:lang w:val="en-US"/>
        </w:rPr>
        <w:t>Today it is their</w:t>
      </w:r>
      <w:r w:rsidR="00B60B6B">
        <w:rPr>
          <w:lang w:val="en-US"/>
        </w:rPr>
        <w:t xml:space="preserve"> writings</w:t>
      </w:r>
      <w:r w:rsidR="00C11297">
        <w:rPr>
          <w:lang w:val="en-US"/>
        </w:rPr>
        <w:t xml:space="preserve">, a rich and varied legacy of prophetic tradition contained in </w:t>
      </w:r>
      <w:r w:rsidR="00B60B6B">
        <w:rPr>
          <w:lang w:val="en-US"/>
        </w:rPr>
        <w:t xml:space="preserve">the whole of Scripture, </w:t>
      </w:r>
      <w:r w:rsidR="00C11297">
        <w:rPr>
          <w:lang w:val="en-US"/>
        </w:rPr>
        <w:t xml:space="preserve">which </w:t>
      </w:r>
      <w:r w:rsidR="009A065C">
        <w:rPr>
          <w:lang w:val="en-US"/>
        </w:rPr>
        <w:t xml:space="preserve">continue to be </w:t>
      </w:r>
      <w:r w:rsidR="009A065C" w:rsidRPr="009A065C">
        <w:rPr>
          <w:i/>
          <w:iCs/>
          <w:lang w:val="en-US"/>
        </w:rPr>
        <w:t>our</w:t>
      </w:r>
      <w:r w:rsidR="00C11297">
        <w:rPr>
          <w:lang w:val="en-US"/>
        </w:rPr>
        <w:t xml:space="preserve"> theological educators</w:t>
      </w:r>
      <w:r w:rsidR="009B7262">
        <w:rPr>
          <w:lang w:val="en-US"/>
        </w:rPr>
        <w:t>.</w:t>
      </w:r>
      <w:r w:rsidR="009A065C">
        <w:rPr>
          <w:lang w:val="en-US"/>
        </w:rPr>
        <w:t xml:space="preserve"> </w:t>
      </w:r>
      <w:r w:rsidR="00C11297">
        <w:rPr>
          <w:lang w:val="en-US"/>
        </w:rPr>
        <w:t>If our institutions are to train prophets, w</w:t>
      </w:r>
      <w:r w:rsidR="00125100">
        <w:rPr>
          <w:lang w:val="en-US"/>
        </w:rPr>
        <w:t xml:space="preserve">hat are </w:t>
      </w:r>
      <w:r w:rsidR="00B60B6B">
        <w:rPr>
          <w:lang w:val="en-US"/>
        </w:rPr>
        <w:t xml:space="preserve">some of the </w:t>
      </w:r>
      <w:r w:rsidR="009B7262">
        <w:rPr>
          <w:lang w:val="en-US"/>
        </w:rPr>
        <w:t xml:space="preserve">areas </w:t>
      </w:r>
      <w:r w:rsidR="00C11297">
        <w:rPr>
          <w:lang w:val="en-US"/>
        </w:rPr>
        <w:t xml:space="preserve">these </w:t>
      </w:r>
      <w:r w:rsidR="00125100">
        <w:rPr>
          <w:lang w:val="en-US"/>
        </w:rPr>
        <w:t xml:space="preserve">prophets </w:t>
      </w:r>
      <w:r w:rsidR="009B7262">
        <w:rPr>
          <w:lang w:val="en-US"/>
        </w:rPr>
        <w:t xml:space="preserve">are </w:t>
      </w:r>
      <w:r w:rsidR="00125100">
        <w:rPr>
          <w:lang w:val="en-US"/>
        </w:rPr>
        <w:t>to be trained for</w:t>
      </w:r>
      <w:r w:rsidR="00EC3D54">
        <w:rPr>
          <w:lang w:val="en-US"/>
        </w:rPr>
        <w:t xml:space="preserve"> (and by prophets I do not just mean preachers but also counselors, youth pastors and Sunday school teachers</w:t>
      </w:r>
      <w:r w:rsidR="009B4136">
        <w:rPr>
          <w:lang w:val="en-US"/>
        </w:rPr>
        <w:t>, to name a few</w:t>
      </w:r>
      <w:r w:rsidR="00EC3D54">
        <w:rPr>
          <w:lang w:val="en-US"/>
        </w:rPr>
        <w:t>)</w:t>
      </w:r>
      <w:r w:rsidR="00125100">
        <w:rPr>
          <w:lang w:val="en-US"/>
        </w:rPr>
        <w:t>?</w:t>
      </w:r>
      <w:r w:rsidR="00EC3D54">
        <w:rPr>
          <w:lang w:val="en-US"/>
        </w:rPr>
        <w:t xml:space="preserve"> </w:t>
      </w:r>
    </w:p>
    <w:p w:rsidR="003107FA" w:rsidRPr="00C63879" w:rsidRDefault="00125100" w:rsidP="00DC1AA9">
      <w:pPr>
        <w:pStyle w:val="Heading1"/>
        <w:spacing w:before="0"/>
        <w:contextualSpacing/>
        <w:jc w:val="both"/>
        <w:rPr>
          <w:lang w:val="en-US"/>
        </w:rPr>
      </w:pPr>
      <w:r>
        <w:rPr>
          <w:lang w:val="en-US"/>
        </w:rPr>
        <w:lastRenderedPageBreak/>
        <w:t>1. Alert</w:t>
      </w:r>
      <w:r w:rsidR="00707735">
        <w:rPr>
          <w:lang w:val="en-US"/>
        </w:rPr>
        <w:t>ing</w:t>
      </w:r>
      <w:r>
        <w:rPr>
          <w:lang w:val="en-US"/>
        </w:rPr>
        <w:t xml:space="preserve"> </w:t>
      </w:r>
      <w:r w:rsidR="00F52C0A">
        <w:rPr>
          <w:lang w:val="en-US"/>
        </w:rPr>
        <w:t>the Church</w:t>
      </w:r>
      <w:r>
        <w:rPr>
          <w:lang w:val="en-US"/>
        </w:rPr>
        <w:t xml:space="preserve"> to “Fertility Cults”</w:t>
      </w:r>
    </w:p>
    <w:p w:rsidR="00A76079" w:rsidRDefault="00A04702" w:rsidP="000F5446">
      <w:pPr>
        <w:contextualSpacing/>
        <w:jc w:val="both"/>
        <w:rPr>
          <w:lang w:val="en-US"/>
        </w:rPr>
      </w:pPr>
      <w:r>
        <w:rPr>
          <w:lang w:val="en-US"/>
        </w:rPr>
        <w:t xml:space="preserve">St. Paul in Romans 1:25 said that humanity </w:t>
      </w:r>
      <w:r w:rsidR="00B8203A">
        <w:rPr>
          <w:lang w:val="en-US"/>
        </w:rPr>
        <w:t>“</w:t>
      </w:r>
      <w:r>
        <w:rPr>
          <w:lang w:val="en-US"/>
        </w:rPr>
        <w:t>exchanged the truth about God for a lie, and worshipped and served created things rather than the creator.</w:t>
      </w:r>
      <w:r w:rsidR="00B8203A">
        <w:rPr>
          <w:lang w:val="en-US"/>
        </w:rPr>
        <w:t>”</w:t>
      </w:r>
      <w:r>
        <w:rPr>
          <w:lang w:val="en-US"/>
        </w:rPr>
        <w:t xml:space="preserve"> This is essent</w:t>
      </w:r>
      <w:r w:rsidR="00A76079">
        <w:rPr>
          <w:lang w:val="en-US"/>
        </w:rPr>
        <w:t>ially how fertility cults work. “Since the success of agriculture and husbandry was the primary necessity upon which all else depended, it was natural that the earliest societies in the Near East associated the divine with the productivity of the land.”</w:t>
      </w:r>
      <w:r w:rsidR="00865DCB">
        <w:rPr>
          <w:rStyle w:val="FootnoteReference"/>
          <w:lang w:val="en-US"/>
        </w:rPr>
        <w:footnoteReference w:id="2"/>
      </w:r>
      <w:r w:rsidR="00A76079">
        <w:rPr>
          <w:lang w:val="en-US"/>
        </w:rPr>
        <w:t xml:space="preserve"> In such cases then, </w:t>
      </w:r>
      <w:r w:rsidR="00865DCB">
        <w:rPr>
          <w:lang w:val="en-US"/>
        </w:rPr>
        <w:t xml:space="preserve">objects of welfare </w:t>
      </w:r>
      <w:r w:rsidR="000F5446">
        <w:rPr>
          <w:lang w:val="en-US"/>
        </w:rPr>
        <w:t>are</w:t>
      </w:r>
      <w:r w:rsidR="00865DCB">
        <w:rPr>
          <w:lang w:val="en-US"/>
        </w:rPr>
        <w:t xml:space="preserve"> the source of life and </w:t>
      </w:r>
      <w:r w:rsidR="00A76079">
        <w:rPr>
          <w:lang w:val="en-US"/>
        </w:rPr>
        <w:t xml:space="preserve">the deity becomes the </w:t>
      </w:r>
      <w:r w:rsidR="00A76079" w:rsidRPr="009B7262">
        <w:rPr>
          <w:i/>
          <w:iCs/>
          <w:lang w:val="en-US"/>
        </w:rPr>
        <w:t>means</w:t>
      </w:r>
      <w:r w:rsidR="00A76079">
        <w:rPr>
          <w:lang w:val="en-US"/>
        </w:rPr>
        <w:t xml:space="preserve"> to </w:t>
      </w:r>
      <w:r w:rsidR="00865DCB">
        <w:rPr>
          <w:lang w:val="en-US"/>
        </w:rPr>
        <w:t>that</w:t>
      </w:r>
      <w:r w:rsidR="00A76079">
        <w:rPr>
          <w:lang w:val="en-US"/>
        </w:rPr>
        <w:t xml:space="preserve"> desired end. </w:t>
      </w:r>
      <w:r w:rsidR="00865DCB">
        <w:rPr>
          <w:lang w:val="en-US"/>
        </w:rPr>
        <w:t xml:space="preserve">The deity is </w:t>
      </w:r>
      <w:r w:rsidR="00A76079">
        <w:rPr>
          <w:lang w:val="en-US"/>
        </w:rPr>
        <w:t xml:space="preserve">thus manipulated through magic, </w:t>
      </w:r>
      <w:r w:rsidR="00865DCB">
        <w:rPr>
          <w:lang w:val="en-US"/>
        </w:rPr>
        <w:t>rituals and incantations in order to secure the people’s desired goals.</w:t>
      </w:r>
      <w:r w:rsidR="00A76079">
        <w:rPr>
          <w:lang w:val="en-US"/>
        </w:rPr>
        <w:t xml:space="preserve"> </w:t>
      </w:r>
    </w:p>
    <w:p w:rsidR="00E52949" w:rsidRDefault="00707735" w:rsidP="00EC3D54">
      <w:pPr>
        <w:ind w:firstLine="720"/>
        <w:contextualSpacing/>
        <w:jc w:val="both"/>
        <w:rPr>
          <w:lang w:val="en-US"/>
        </w:rPr>
      </w:pPr>
      <w:r>
        <w:rPr>
          <w:lang w:val="en-US"/>
        </w:rPr>
        <w:t>In Greece w</w:t>
      </w:r>
      <w:r w:rsidR="00E52949">
        <w:rPr>
          <w:lang w:val="en-US"/>
        </w:rPr>
        <w:t>e no longer worship suns or rivers. Our fertility cult has taken a more contemporary form.</w:t>
      </w:r>
      <w:r w:rsidR="000F5446">
        <w:rPr>
          <w:lang w:val="en-US"/>
        </w:rPr>
        <w:t xml:space="preserve"> You may be familiar with a variety of fertility cults in your context, but ours</w:t>
      </w:r>
      <w:r w:rsidR="00080CB0">
        <w:rPr>
          <w:lang w:val="en-US"/>
        </w:rPr>
        <w:t xml:space="preserve"> is called secularity with a special emphasis on capitalistic endeavors</w:t>
      </w:r>
      <w:r w:rsidR="00EC3D54">
        <w:rPr>
          <w:lang w:val="en-US"/>
        </w:rPr>
        <w:t>; at least this has been the emphasis until the economic crisis hit like a tsunami and caused people to start reconsidering these values</w:t>
      </w:r>
      <w:r w:rsidR="00080CB0">
        <w:rPr>
          <w:lang w:val="en-US"/>
        </w:rPr>
        <w:t xml:space="preserve">. Although secularity is </w:t>
      </w:r>
      <w:r w:rsidR="008A4751">
        <w:rPr>
          <w:lang w:val="en-US"/>
        </w:rPr>
        <w:t>known</w:t>
      </w:r>
      <w:r w:rsidR="00080CB0">
        <w:rPr>
          <w:lang w:val="en-US"/>
        </w:rPr>
        <w:t xml:space="preserve"> by its rejection of the divine, </w:t>
      </w:r>
      <w:r w:rsidR="00DC1AA9">
        <w:rPr>
          <w:lang w:val="en-US"/>
        </w:rPr>
        <w:t>when the church adopts it</w:t>
      </w:r>
      <w:r w:rsidR="00DA15EE">
        <w:rPr>
          <w:lang w:val="en-US"/>
        </w:rPr>
        <w:t xml:space="preserve">, it does not necessarily throw out its beliefs in the transcendent. The church is able to adapt its doctrine to a secular mindset, </w:t>
      </w:r>
      <w:r w:rsidR="00C47AA8">
        <w:rPr>
          <w:lang w:val="en-US"/>
        </w:rPr>
        <w:t>and indeed there are multiple secularities</w:t>
      </w:r>
      <w:r w:rsidR="00DA15EE">
        <w:rPr>
          <w:lang w:val="en-US"/>
        </w:rPr>
        <w:t xml:space="preserve"> in the world today</w:t>
      </w:r>
      <w:r w:rsidR="00080CB0">
        <w:rPr>
          <w:lang w:val="en-US"/>
        </w:rPr>
        <w:t xml:space="preserve">. The God of the church may be permitted to remain seated </w:t>
      </w:r>
      <w:r w:rsidR="00DA15EE">
        <w:rPr>
          <w:lang w:val="en-US"/>
        </w:rPr>
        <w:t>in</w:t>
      </w:r>
      <w:r w:rsidR="00672E46">
        <w:rPr>
          <w:lang w:val="en-US"/>
        </w:rPr>
        <w:t xml:space="preserve"> our </w:t>
      </w:r>
      <w:r w:rsidR="00DA15EE">
        <w:rPr>
          <w:lang w:val="en-US"/>
        </w:rPr>
        <w:t>pews</w:t>
      </w:r>
      <w:r w:rsidR="00080CB0">
        <w:rPr>
          <w:lang w:val="en-US"/>
        </w:rPr>
        <w:t xml:space="preserve"> and to adapt to our secular way of thinking</w:t>
      </w:r>
      <w:r>
        <w:rPr>
          <w:lang w:val="en-US"/>
        </w:rPr>
        <w:t xml:space="preserve"> and being</w:t>
      </w:r>
      <w:r w:rsidR="00080CB0">
        <w:rPr>
          <w:lang w:val="en-US"/>
        </w:rPr>
        <w:t>. But why do I call secularity a “fertility cult”?</w:t>
      </w:r>
      <w:r w:rsidR="00E52949">
        <w:rPr>
          <w:lang w:val="en-US"/>
        </w:rPr>
        <w:t xml:space="preserve"> Charles Taylor</w:t>
      </w:r>
      <w:r w:rsidR="00080CB0">
        <w:rPr>
          <w:lang w:val="en-US"/>
        </w:rPr>
        <w:t xml:space="preserve"> comes close to describing secularity as a “fertility cult”</w:t>
      </w:r>
      <w:r w:rsidR="00E52949">
        <w:rPr>
          <w:lang w:val="en-US"/>
        </w:rPr>
        <w:t xml:space="preserve"> in his book </w:t>
      </w:r>
      <w:r w:rsidR="00E52949" w:rsidRPr="00E52949">
        <w:rPr>
          <w:i/>
          <w:iCs/>
          <w:lang w:val="en-US"/>
        </w:rPr>
        <w:t>A Secular Age</w:t>
      </w:r>
      <w:r w:rsidR="00E52949">
        <w:rPr>
          <w:lang w:val="en-US"/>
        </w:rPr>
        <w:t>:</w:t>
      </w:r>
    </w:p>
    <w:p w:rsidR="00E52949" w:rsidRDefault="00E52949" w:rsidP="006B2683">
      <w:pPr>
        <w:spacing w:line="240" w:lineRule="auto"/>
        <w:ind w:left="720"/>
        <w:contextualSpacing/>
        <w:jc w:val="both"/>
        <w:rPr>
          <w:lang w:val="en-US"/>
        </w:rPr>
      </w:pPr>
      <w:r>
        <w:rPr>
          <w:lang w:val="en-US"/>
        </w:rPr>
        <w:t>I would like to claim that the coming of modern secularity in my sense has been coterminous with the rise of a society in which for the first time in history a purely self-sufficient humanism came to be a widely available option. I mean by this a humanism accepting no final goals beyond human flourishing, nor any allegiance to anything else beyond this flourishing.</w:t>
      </w:r>
      <w:r w:rsidR="0056736B">
        <w:rPr>
          <w:rStyle w:val="FootnoteReference"/>
          <w:lang w:val="en-US"/>
        </w:rPr>
        <w:footnoteReference w:id="3"/>
      </w:r>
      <w:r>
        <w:rPr>
          <w:lang w:val="en-US"/>
        </w:rPr>
        <w:t xml:space="preserve"> </w:t>
      </w:r>
    </w:p>
    <w:p w:rsidR="008623AF" w:rsidRDefault="008623AF" w:rsidP="006B2683">
      <w:pPr>
        <w:spacing w:line="240" w:lineRule="auto"/>
        <w:ind w:left="720"/>
        <w:contextualSpacing/>
        <w:jc w:val="both"/>
        <w:rPr>
          <w:lang w:val="en-US"/>
        </w:rPr>
      </w:pPr>
    </w:p>
    <w:p w:rsidR="005C4371" w:rsidRDefault="00080CB0" w:rsidP="009B4136">
      <w:pPr>
        <w:contextualSpacing/>
        <w:jc w:val="both"/>
        <w:rPr>
          <w:lang w:val="en-US"/>
        </w:rPr>
      </w:pPr>
      <w:r>
        <w:rPr>
          <w:lang w:val="en-US"/>
        </w:rPr>
        <w:t>T</w:t>
      </w:r>
      <w:r w:rsidR="00AA6D2E">
        <w:rPr>
          <w:lang w:val="en-US"/>
        </w:rPr>
        <w:t>he lack of allegiance to anything beyond “bread,” i.e. human welfare or flourishing, is a point characteristic of the fertility cults of old</w:t>
      </w:r>
      <w:r w:rsidR="003058FE">
        <w:rPr>
          <w:lang w:val="en-US"/>
        </w:rPr>
        <w:t xml:space="preserve"> despite the fact that means of flourishing are deified or that deities are used as </w:t>
      </w:r>
      <w:r w:rsidR="003058FE" w:rsidRPr="00F71921">
        <w:rPr>
          <w:i/>
          <w:iCs/>
          <w:lang w:val="en-US"/>
        </w:rPr>
        <w:t>means</w:t>
      </w:r>
      <w:r w:rsidR="003058FE">
        <w:rPr>
          <w:lang w:val="en-US"/>
        </w:rPr>
        <w:t xml:space="preserve"> to the desired end of flourishing</w:t>
      </w:r>
      <w:r w:rsidR="00AA6D2E">
        <w:rPr>
          <w:lang w:val="en-US"/>
        </w:rPr>
        <w:t xml:space="preserve">. </w:t>
      </w:r>
      <w:r w:rsidR="00B17791">
        <w:rPr>
          <w:lang w:val="en-US"/>
        </w:rPr>
        <w:t>Christianity</w:t>
      </w:r>
      <w:r w:rsidR="003058FE">
        <w:rPr>
          <w:lang w:val="en-US"/>
        </w:rPr>
        <w:t xml:space="preserve"> </w:t>
      </w:r>
      <w:r w:rsidR="003058FE" w:rsidRPr="00F0211C">
        <w:rPr>
          <w:i/>
          <w:iCs/>
          <w:lang w:val="en-US"/>
        </w:rPr>
        <w:t>does</w:t>
      </w:r>
      <w:r w:rsidR="00B17791">
        <w:rPr>
          <w:lang w:val="en-US"/>
        </w:rPr>
        <w:t xml:space="preserve"> value human flourishing but there remains a fundamental tension. As Taylor says, “</w:t>
      </w:r>
      <w:r w:rsidR="009B4136">
        <w:rPr>
          <w:lang w:val="en-US"/>
        </w:rPr>
        <w:t>[f]</w:t>
      </w:r>
      <w:proofErr w:type="spellStart"/>
      <w:r w:rsidR="00B17791">
        <w:rPr>
          <w:lang w:val="en-US"/>
        </w:rPr>
        <w:t>lourishing</w:t>
      </w:r>
      <w:proofErr w:type="spellEnd"/>
      <w:r w:rsidR="00B17791">
        <w:rPr>
          <w:lang w:val="en-US"/>
        </w:rPr>
        <w:t xml:space="preserve"> is </w:t>
      </w:r>
      <w:proofErr w:type="gramStart"/>
      <w:r w:rsidR="00B17791">
        <w:rPr>
          <w:lang w:val="en-US"/>
        </w:rPr>
        <w:t>good,</w:t>
      </w:r>
      <w:proofErr w:type="gramEnd"/>
      <w:r w:rsidR="00B17791">
        <w:rPr>
          <w:lang w:val="en-US"/>
        </w:rPr>
        <w:t xml:space="preserve"> nevertheless seeking it is not our ultimate goal.”</w:t>
      </w:r>
      <w:r w:rsidR="00B17791">
        <w:rPr>
          <w:rStyle w:val="FootnoteReference"/>
          <w:lang w:val="en-US"/>
        </w:rPr>
        <w:footnoteReference w:id="4"/>
      </w:r>
      <w:r w:rsidR="00380682">
        <w:rPr>
          <w:lang w:val="en-US"/>
        </w:rPr>
        <w:t xml:space="preserve"> A </w:t>
      </w:r>
      <w:r w:rsidR="00380682">
        <w:rPr>
          <w:lang w:val="en-US"/>
        </w:rPr>
        <w:lastRenderedPageBreak/>
        <w:t xml:space="preserve">concern about this allegiance to flourishing is also expressed in the </w:t>
      </w:r>
      <w:r w:rsidR="005C4371">
        <w:rPr>
          <w:lang w:val="en-US"/>
        </w:rPr>
        <w:t xml:space="preserve">Cape Town Commitment: </w:t>
      </w:r>
    </w:p>
    <w:p w:rsidR="005C4371" w:rsidRDefault="005C4371" w:rsidP="006B2683">
      <w:pPr>
        <w:spacing w:line="240" w:lineRule="auto"/>
        <w:ind w:left="720"/>
        <w:contextualSpacing/>
        <w:jc w:val="both"/>
        <w:rPr>
          <w:lang w:val="en-US"/>
        </w:rPr>
      </w:pPr>
      <w:r>
        <w:rPr>
          <w:lang w:val="en-US"/>
        </w:rPr>
        <w:t>[L]</w:t>
      </w:r>
      <w:proofErr w:type="spellStart"/>
      <w:proofErr w:type="gramStart"/>
      <w:r>
        <w:rPr>
          <w:lang w:val="en-US"/>
        </w:rPr>
        <w:t>ike</w:t>
      </w:r>
      <w:proofErr w:type="spellEnd"/>
      <w:proofErr w:type="gramEnd"/>
      <w:r>
        <w:rPr>
          <w:lang w:val="en-US"/>
        </w:rPr>
        <w:t xml:space="preserve"> Old Testament Israel we allow our love for God to be adulterated by going after the gods of this world, the gods of the people around us. We fall into syncretism, enticed by many idols such as greed, power and success, serving mammon rather than God. We accept dominant political and economic ideologies without biblical critique.</w:t>
      </w:r>
      <w:r>
        <w:rPr>
          <w:rStyle w:val="FootnoteReference"/>
          <w:lang w:val="en-US"/>
        </w:rPr>
        <w:footnoteReference w:id="5"/>
      </w:r>
    </w:p>
    <w:p w:rsidR="00380682" w:rsidRDefault="00380682" w:rsidP="006B2683">
      <w:pPr>
        <w:spacing w:line="240" w:lineRule="auto"/>
        <w:ind w:left="720"/>
        <w:contextualSpacing/>
        <w:jc w:val="both"/>
        <w:rPr>
          <w:lang w:val="en-US"/>
        </w:rPr>
      </w:pPr>
    </w:p>
    <w:p w:rsidR="003107FA" w:rsidRDefault="008A0836" w:rsidP="00DA15EE">
      <w:pPr>
        <w:spacing w:after="0"/>
        <w:contextualSpacing/>
        <w:jc w:val="both"/>
        <w:rPr>
          <w:lang w:val="en-US"/>
        </w:rPr>
      </w:pPr>
      <w:r>
        <w:rPr>
          <w:lang w:val="en-US"/>
        </w:rPr>
        <w:t>The church is often unaware</w:t>
      </w:r>
      <w:r w:rsidR="00E37F46">
        <w:rPr>
          <w:lang w:val="en-US"/>
        </w:rPr>
        <w:t xml:space="preserve"> that its allegiance has shifted,</w:t>
      </w:r>
      <w:r>
        <w:rPr>
          <w:lang w:val="en-US"/>
        </w:rPr>
        <w:t xml:space="preserve"> that it is beginning to mirror the secular society </w:t>
      </w:r>
      <w:r w:rsidR="00E37F46">
        <w:rPr>
          <w:lang w:val="en-US"/>
        </w:rPr>
        <w:t>because its “evangelical” rhetoric is usually</w:t>
      </w:r>
      <w:r>
        <w:rPr>
          <w:lang w:val="en-US"/>
        </w:rPr>
        <w:t xml:space="preserve"> maintained</w:t>
      </w:r>
      <w:r w:rsidR="00D27864">
        <w:rPr>
          <w:lang w:val="en-US"/>
        </w:rPr>
        <w:t>. The “spoken” allegiance differs, but the “acted” allegiance is often the same</w:t>
      </w:r>
      <w:r w:rsidR="001F7A2F">
        <w:rPr>
          <w:lang w:val="en-US"/>
        </w:rPr>
        <w:t xml:space="preserve"> </w:t>
      </w:r>
      <w:r w:rsidR="00DA15EE">
        <w:rPr>
          <w:lang w:val="en-US"/>
        </w:rPr>
        <w:t>as that of</w:t>
      </w:r>
      <w:r w:rsidR="001F7A2F">
        <w:rPr>
          <w:lang w:val="en-US"/>
        </w:rPr>
        <w:t xml:space="preserve"> the secular world</w:t>
      </w:r>
      <w:r>
        <w:rPr>
          <w:lang w:val="en-US"/>
        </w:rPr>
        <w:t>.</w:t>
      </w:r>
      <w:r w:rsidR="00F71921">
        <w:rPr>
          <w:lang w:val="en-US"/>
        </w:rPr>
        <w:t xml:space="preserve"> </w:t>
      </w:r>
      <w:r w:rsidR="00AA6D2E">
        <w:rPr>
          <w:lang w:val="en-US"/>
        </w:rPr>
        <w:t>Prophets are</w:t>
      </w:r>
      <w:r w:rsidR="005C4371">
        <w:rPr>
          <w:lang w:val="en-US"/>
        </w:rPr>
        <w:t xml:space="preserve"> thus</w:t>
      </w:r>
      <w:r w:rsidR="00AA6D2E">
        <w:rPr>
          <w:lang w:val="en-US"/>
        </w:rPr>
        <w:t xml:space="preserve"> to be </w:t>
      </w:r>
      <w:r w:rsidR="008623AF">
        <w:rPr>
          <w:lang w:val="en-US"/>
        </w:rPr>
        <w:t>educated in</w:t>
      </w:r>
      <w:r w:rsidR="00AA6D2E">
        <w:rPr>
          <w:lang w:val="en-US"/>
        </w:rPr>
        <w:t xml:space="preserve"> reflect</w:t>
      </w:r>
      <w:r w:rsidR="008623AF">
        <w:rPr>
          <w:lang w:val="en-US"/>
        </w:rPr>
        <w:t>ing</w:t>
      </w:r>
      <w:r w:rsidR="00AA6D2E">
        <w:rPr>
          <w:lang w:val="en-US"/>
        </w:rPr>
        <w:t xml:space="preserve"> on the ways of society</w:t>
      </w:r>
      <w:r w:rsidR="00D27864">
        <w:rPr>
          <w:lang w:val="en-US"/>
        </w:rPr>
        <w:t xml:space="preserve"> and the church</w:t>
      </w:r>
      <w:r w:rsidR="00AA6D2E">
        <w:rPr>
          <w:lang w:val="en-US"/>
        </w:rPr>
        <w:t xml:space="preserve"> and develop</w:t>
      </w:r>
      <w:r w:rsidR="008623AF">
        <w:rPr>
          <w:lang w:val="en-US"/>
        </w:rPr>
        <w:t>ing</w:t>
      </w:r>
      <w:r w:rsidR="00AA6D2E">
        <w:rPr>
          <w:lang w:val="en-US"/>
        </w:rPr>
        <w:t xml:space="preserve"> the ability of social and religious critique. </w:t>
      </w:r>
    </w:p>
    <w:p w:rsidR="00A05C6A" w:rsidRDefault="006C507E" w:rsidP="00103D0A">
      <w:pPr>
        <w:ind w:firstLine="720"/>
        <w:contextualSpacing/>
        <w:jc w:val="both"/>
        <w:rPr>
          <w:lang w:val="en-US"/>
        </w:rPr>
      </w:pPr>
      <w:r>
        <w:rPr>
          <w:lang w:val="en-US"/>
        </w:rPr>
        <w:t xml:space="preserve">However, even the institutions within which prophets are trained are not immune. </w:t>
      </w:r>
      <w:r w:rsidR="00555B56">
        <w:rPr>
          <w:lang w:val="en-US"/>
        </w:rPr>
        <w:t>In Greece,</w:t>
      </w:r>
      <w:r w:rsidR="00103D0A">
        <w:rPr>
          <w:lang w:val="en-US"/>
        </w:rPr>
        <w:t xml:space="preserve"> as I am sure in many other countries,</w:t>
      </w:r>
      <w:r w:rsidR="00555B56">
        <w:rPr>
          <w:lang w:val="en-US"/>
        </w:rPr>
        <w:t xml:space="preserve"> t</w:t>
      </w:r>
      <w:r w:rsidR="008A329D">
        <w:rPr>
          <w:lang w:val="en-US"/>
        </w:rPr>
        <w:t xml:space="preserve">he </w:t>
      </w:r>
      <w:r w:rsidR="00A30768">
        <w:rPr>
          <w:lang w:val="en-US"/>
        </w:rPr>
        <w:t>majority</w:t>
      </w:r>
      <w:r w:rsidR="008A329D">
        <w:rPr>
          <w:lang w:val="en-US"/>
        </w:rPr>
        <w:t xml:space="preserve"> of churches </w:t>
      </w:r>
      <w:proofErr w:type="gramStart"/>
      <w:r w:rsidR="008A329D">
        <w:rPr>
          <w:lang w:val="en-US"/>
        </w:rPr>
        <w:t>believes</w:t>
      </w:r>
      <w:proofErr w:type="gramEnd"/>
      <w:r w:rsidR="008A329D">
        <w:rPr>
          <w:lang w:val="en-US"/>
        </w:rPr>
        <w:t xml:space="preserve"> in lay service. No salary is offered to a theological education graduate. Very few exceptions may be made for popular preachers, but generally speaking, most ministers are tent-makers. When it comes to women,</w:t>
      </w:r>
      <w:r w:rsidR="00555B56">
        <w:rPr>
          <w:lang w:val="en-US"/>
        </w:rPr>
        <w:t xml:space="preserve"> of course,</w:t>
      </w:r>
      <w:r w:rsidR="008A329D">
        <w:rPr>
          <w:lang w:val="en-US"/>
        </w:rPr>
        <w:t xml:space="preserve"> there are</w:t>
      </w:r>
      <w:r w:rsidR="00103D0A">
        <w:rPr>
          <w:lang w:val="en-US"/>
        </w:rPr>
        <w:t xml:space="preserve"> almost</w:t>
      </w:r>
      <w:r w:rsidR="008A329D">
        <w:rPr>
          <w:lang w:val="en-US"/>
        </w:rPr>
        <w:t xml:space="preserve"> zero opportunities for hire in ministry. Under these circumstances, not only is there no time for theological education for these pastors who have to balance maintaining a job, pastoring and caring for their families</w:t>
      </w:r>
      <w:r w:rsidR="00A30768">
        <w:rPr>
          <w:lang w:val="en-US"/>
        </w:rPr>
        <w:t>,</w:t>
      </w:r>
      <w:r w:rsidR="008A329D">
        <w:rPr>
          <w:lang w:val="en-US"/>
        </w:rPr>
        <w:t xml:space="preserve"> but also for young people, who are at the point of considering a career, </w:t>
      </w:r>
      <w:r w:rsidR="00A05C6A">
        <w:rPr>
          <w:lang w:val="en-US"/>
        </w:rPr>
        <w:t xml:space="preserve">there is lack of motivation for theological education and ministry. It appears as if one does not require the other. </w:t>
      </w:r>
    </w:p>
    <w:p w:rsidR="00A97BDF" w:rsidRDefault="00A30768" w:rsidP="00555B56">
      <w:pPr>
        <w:ind w:firstLine="720"/>
        <w:contextualSpacing/>
        <w:jc w:val="both"/>
        <w:rPr>
          <w:lang w:val="en-US"/>
        </w:rPr>
      </w:pPr>
      <w:r>
        <w:rPr>
          <w:lang w:val="en-US"/>
        </w:rPr>
        <w:t>E</w:t>
      </w:r>
      <w:r w:rsidR="005F6E5D">
        <w:rPr>
          <w:lang w:val="en-US"/>
        </w:rPr>
        <w:t xml:space="preserve">ven in the </w:t>
      </w:r>
      <w:r w:rsidR="006D3BDD">
        <w:rPr>
          <w:lang w:val="en-US"/>
        </w:rPr>
        <w:t>context</w:t>
      </w:r>
      <w:r w:rsidR="005F6E5D">
        <w:rPr>
          <w:lang w:val="en-US"/>
        </w:rPr>
        <w:t xml:space="preserve"> of churches who </w:t>
      </w:r>
      <w:r w:rsidR="005F6E5D" w:rsidRPr="005F6E5D">
        <w:rPr>
          <w:i/>
          <w:iCs/>
          <w:lang w:val="en-US"/>
        </w:rPr>
        <w:t>would</w:t>
      </w:r>
      <w:r w:rsidR="005F6E5D">
        <w:rPr>
          <w:lang w:val="en-US"/>
        </w:rPr>
        <w:t xml:space="preserve"> offer a salary </w:t>
      </w:r>
      <w:r w:rsidR="00555B56">
        <w:rPr>
          <w:lang w:val="en-US"/>
        </w:rPr>
        <w:t>to</w:t>
      </w:r>
      <w:r w:rsidR="005F6E5D">
        <w:rPr>
          <w:lang w:val="en-US"/>
        </w:rPr>
        <w:t xml:space="preserve"> pastors, we often have a hard time recruiting students </w:t>
      </w:r>
      <w:r w:rsidR="00555B56">
        <w:rPr>
          <w:lang w:val="en-US"/>
        </w:rPr>
        <w:t>to be trained for such</w:t>
      </w:r>
      <w:r w:rsidR="006D3BDD">
        <w:rPr>
          <w:lang w:val="en-US"/>
        </w:rPr>
        <w:t xml:space="preserve"> ministry. Theological education can simply </w:t>
      </w:r>
      <w:r w:rsidR="006D3BDD" w:rsidRPr="009B4136">
        <w:rPr>
          <w:i/>
          <w:iCs/>
          <w:lang w:val="en-US"/>
        </w:rPr>
        <w:t>not</w:t>
      </w:r>
      <w:r w:rsidR="006D3BDD">
        <w:rPr>
          <w:lang w:val="en-US"/>
        </w:rPr>
        <w:t xml:space="preserve"> compete with other career options one is considering. Theological institutions could not possibly </w:t>
      </w:r>
      <w:r w:rsidR="003107FA">
        <w:rPr>
          <w:lang w:val="en-US"/>
        </w:rPr>
        <w:t>advertise that the economic and prestigious paybacks that theological education offers can outweigh the acquisition of those benefits from another source.</w:t>
      </w:r>
      <w:r w:rsidR="003107FA" w:rsidRPr="003107FA">
        <w:rPr>
          <w:lang w:val="en-US"/>
        </w:rPr>
        <w:t xml:space="preserve"> </w:t>
      </w:r>
      <w:r w:rsidR="003107FA">
        <w:rPr>
          <w:lang w:val="en-US"/>
        </w:rPr>
        <w:t>I often meet Christian parents who discourage their children from pursuing theological studies since this field would never measure up to the more profitable and prestigious careers their children could have.</w:t>
      </w:r>
      <w:r w:rsidR="00D27864">
        <w:rPr>
          <w:lang w:val="en-US"/>
        </w:rPr>
        <w:t xml:space="preserve"> </w:t>
      </w:r>
    </w:p>
    <w:p w:rsidR="00A97BDF" w:rsidRDefault="00A97BDF" w:rsidP="008623AF">
      <w:pPr>
        <w:ind w:firstLine="720"/>
        <w:contextualSpacing/>
        <w:jc w:val="both"/>
        <w:rPr>
          <w:lang w:val="en-US"/>
        </w:rPr>
      </w:pPr>
      <w:r>
        <w:rPr>
          <w:lang w:val="en-US"/>
        </w:rPr>
        <w:t xml:space="preserve">But this phenomenon is not limited to </w:t>
      </w:r>
      <w:r w:rsidR="00660D6F">
        <w:rPr>
          <w:lang w:val="en-US"/>
        </w:rPr>
        <w:t>the European</w:t>
      </w:r>
      <w:r>
        <w:rPr>
          <w:lang w:val="en-US"/>
        </w:rPr>
        <w:t xml:space="preserve"> context. </w:t>
      </w:r>
      <w:proofErr w:type="spellStart"/>
      <w:r w:rsidR="000E786C">
        <w:rPr>
          <w:lang w:val="en-US"/>
        </w:rPr>
        <w:t>Elewani</w:t>
      </w:r>
      <w:proofErr w:type="spellEnd"/>
      <w:r w:rsidR="000E786C">
        <w:rPr>
          <w:lang w:val="en-US"/>
        </w:rPr>
        <w:t xml:space="preserve"> </w:t>
      </w:r>
      <w:proofErr w:type="spellStart"/>
      <w:r>
        <w:rPr>
          <w:lang w:val="en-US"/>
        </w:rPr>
        <w:t>Farisani</w:t>
      </w:r>
      <w:proofErr w:type="spellEnd"/>
      <w:r>
        <w:rPr>
          <w:lang w:val="en-US"/>
        </w:rPr>
        <w:t xml:space="preserve"> mentions the words of a former president of South Africa, Thabo Mbeki, who has on </w:t>
      </w:r>
      <w:r>
        <w:rPr>
          <w:lang w:val="en-US"/>
        </w:rPr>
        <w:lastRenderedPageBreak/>
        <w:t>numerous occasions discouraged young South Africans from enrolling for Biblical Studies. He said, for example: “If you qualify and come out of teacher training, for instance, with Biblical Studies you are not going to get very many jobs for that.”</w:t>
      </w:r>
      <w:r>
        <w:rPr>
          <w:rStyle w:val="FootnoteReference"/>
          <w:lang w:val="en-US"/>
        </w:rPr>
        <w:footnoteReference w:id="6"/>
      </w:r>
      <w:r>
        <w:rPr>
          <w:lang w:val="en-US"/>
        </w:rPr>
        <w:t xml:space="preserve"> </w:t>
      </w:r>
      <w:proofErr w:type="spellStart"/>
      <w:r>
        <w:rPr>
          <w:lang w:val="en-US"/>
        </w:rPr>
        <w:t>Farisani</w:t>
      </w:r>
      <w:proofErr w:type="spellEnd"/>
      <w:r>
        <w:rPr>
          <w:lang w:val="en-US"/>
        </w:rPr>
        <w:t xml:space="preserve"> says that Mbeki regards Biblical Studies, and by extension Theology, as disciplines that “are not readily marketable except in teaching.” </w:t>
      </w:r>
      <w:r w:rsidR="003107FA">
        <w:rPr>
          <w:lang w:val="en-US"/>
        </w:rPr>
        <w:t xml:space="preserve"> </w:t>
      </w:r>
    </w:p>
    <w:p w:rsidR="008E4BD1" w:rsidRDefault="003107FA" w:rsidP="00482075">
      <w:pPr>
        <w:ind w:firstLine="720"/>
        <w:contextualSpacing/>
        <w:jc w:val="both"/>
        <w:rPr>
          <w:lang w:val="en-US"/>
        </w:rPr>
      </w:pPr>
      <w:r>
        <w:rPr>
          <w:lang w:val="en-US"/>
        </w:rPr>
        <w:t>In the secular capitalistic world, people have a limited amount of time and money and their interest is to invest them in the place that would generate most capital (both economic and social). The</w:t>
      </w:r>
      <w:r w:rsidR="00482075">
        <w:rPr>
          <w:lang w:val="en-US"/>
        </w:rPr>
        <w:t>refore,</w:t>
      </w:r>
      <w:r>
        <w:rPr>
          <w:lang w:val="en-US"/>
        </w:rPr>
        <w:t xml:space="preserve"> apart from those who claim to have a personal clear calling to this “leap of faith” called theological education, prospective students turn down even the minimum of one year of theological studies.</w:t>
      </w:r>
      <w:r w:rsidR="00F31CE4">
        <w:rPr>
          <w:lang w:val="en-US"/>
        </w:rPr>
        <w:t xml:space="preserve"> </w:t>
      </w:r>
    </w:p>
    <w:p w:rsidR="008623AF" w:rsidRDefault="006C507E" w:rsidP="006A0E46">
      <w:pPr>
        <w:ind w:firstLine="720"/>
        <w:contextualSpacing/>
        <w:jc w:val="both"/>
        <w:rPr>
          <w:lang w:val="en-US"/>
        </w:rPr>
      </w:pPr>
      <w:r>
        <w:rPr>
          <w:lang w:val="en-US"/>
        </w:rPr>
        <w:t xml:space="preserve">Please note that we are not critiquing the most basic natural need of humans to </w:t>
      </w:r>
      <w:r w:rsidR="00555B56">
        <w:rPr>
          <w:lang w:val="en-US"/>
        </w:rPr>
        <w:t>earn their</w:t>
      </w:r>
      <w:r w:rsidR="005D4EE3">
        <w:rPr>
          <w:lang w:val="en-US"/>
        </w:rPr>
        <w:t xml:space="preserve"> </w:t>
      </w:r>
      <w:r w:rsidR="00555B56">
        <w:rPr>
          <w:lang w:val="en-US"/>
        </w:rPr>
        <w:t>“</w:t>
      </w:r>
      <w:r>
        <w:rPr>
          <w:lang w:val="en-US"/>
        </w:rPr>
        <w:t>bread”</w:t>
      </w:r>
      <w:r w:rsidR="008F362E">
        <w:rPr>
          <w:lang w:val="en-US"/>
        </w:rPr>
        <w:t xml:space="preserve">. We are critiquing </w:t>
      </w:r>
      <w:r w:rsidR="005D4EE3">
        <w:rPr>
          <w:lang w:val="en-US"/>
        </w:rPr>
        <w:t xml:space="preserve">“living on bread </w:t>
      </w:r>
      <w:r w:rsidR="005D4EE3" w:rsidRPr="005E64E4">
        <w:rPr>
          <w:i/>
          <w:iCs/>
          <w:lang w:val="en-US"/>
        </w:rPr>
        <w:t>alone</w:t>
      </w:r>
      <w:r w:rsidR="00A30768">
        <w:rPr>
          <w:i/>
          <w:iCs/>
          <w:lang w:val="en-US"/>
        </w:rPr>
        <w:t>.</w:t>
      </w:r>
      <w:r w:rsidR="005D4EE3">
        <w:rPr>
          <w:lang w:val="en-US"/>
        </w:rPr>
        <w:t>”</w:t>
      </w:r>
      <w:r w:rsidR="00A30768">
        <w:rPr>
          <w:lang w:val="en-US"/>
        </w:rPr>
        <w:t xml:space="preserve"> There is a very thin line between the two. Secular values can be so subtle and may convince us that</w:t>
      </w:r>
      <w:r w:rsidR="00103D0A">
        <w:rPr>
          <w:lang w:val="en-US"/>
        </w:rPr>
        <w:t xml:space="preserve"> we are </w:t>
      </w:r>
      <w:r w:rsidR="00103D0A" w:rsidRPr="00103D0A">
        <w:rPr>
          <w:i/>
          <w:iCs/>
          <w:lang w:val="en-US"/>
        </w:rPr>
        <w:t>starving</w:t>
      </w:r>
      <w:r w:rsidR="00103D0A">
        <w:rPr>
          <w:lang w:val="en-US"/>
        </w:rPr>
        <w:t xml:space="preserve">, that we in fact do not </w:t>
      </w:r>
      <w:r w:rsidR="00103D0A" w:rsidRPr="00103D0A">
        <w:rPr>
          <w:i/>
          <w:iCs/>
          <w:lang w:val="en-US"/>
        </w:rPr>
        <w:t>have</w:t>
      </w:r>
      <w:r w:rsidR="00103D0A">
        <w:rPr>
          <w:lang w:val="en-US"/>
        </w:rPr>
        <w:t xml:space="preserve"> bread, thus making the pursuit of </w:t>
      </w:r>
      <w:r w:rsidR="00A30768">
        <w:rPr>
          <w:lang w:val="en-US"/>
        </w:rPr>
        <w:t>theological education</w:t>
      </w:r>
      <w:r w:rsidR="00291EFD">
        <w:rPr>
          <w:lang w:val="en-US"/>
        </w:rPr>
        <w:t xml:space="preserve"> appear as</w:t>
      </w:r>
      <w:r w:rsidR="00A30768">
        <w:rPr>
          <w:lang w:val="en-US"/>
        </w:rPr>
        <w:t xml:space="preserve"> an act of </w:t>
      </w:r>
      <w:r w:rsidR="00A30768" w:rsidRPr="00103D0A">
        <w:rPr>
          <w:i/>
          <w:iCs/>
          <w:lang w:val="en-US"/>
        </w:rPr>
        <w:t>suicide</w:t>
      </w:r>
      <w:r w:rsidR="007540EE">
        <w:rPr>
          <w:i/>
          <w:iCs/>
          <w:lang w:val="en-US"/>
        </w:rPr>
        <w:t>,</w:t>
      </w:r>
      <w:r w:rsidR="00A30768">
        <w:rPr>
          <w:lang w:val="en-US"/>
        </w:rPr>
        <w:t xml:space="preserve"> </w:t>
      </w:r>
      <w:r w:rsidR="00103D0A">
        <w:rPr>
          <w:lang w:val="en-US"/>
        </w:rPr>
        <w:t xml:space="preserve">blinding us to its life-giving benefits for the spiritual lives of </w:t>
      </w:r>
      <w:r w:rsidR="00A30768">
        <w:rPr>
          <w:lang w:val="en-US"/>
        </w:rPr>
        <w:t xml:space="preserve">our church communities. The prophet </w:t>
      </w:r>
      <w:r w:rsidR="005D4EE3">
        <w:rPr>
          <w:lang w:val="en-US"/>
        </w:rPr>
        <w:t>Amos</w:t>
      </w:r>
      <w:r w:rsidR="00A30768">
        <w:rPr>
          <w:lang w:val="en-US"/>
        </w:rPr>
        <w:t xml:space="preserve"> comes to mind</w:t>
      </w:r>
      <w:r w:rsidR="005D4EE3">
        <w:rPr>
          <w:lang w:val="en-US"/>
        </w:rPr>
        <w:t xml:space="preserve">, </w:t>
      </w:r>
      <w:r w:rsidR="00482075">
        <w:rPr>
          <w:lang w:val="en-US"/>
        </w:rPr>
        <w:t xml:space="preserve">whose </w:t>
      </w:r>
      <w:r w:rsidR="005D4EE3">
        <w:rPr>
          <w:lang w:val="en-US"/>
        </w:rPr>
        <w:t>“bread-earning” was disturbed</w:t>
      </w:r>
      <w:r w:rsidR="009647AC">
        <w:rPr>
          <w:lang w:val="en-US"/>
        </w:rPr>
        <w:t xml:space="preserve"> for a risky</w:t>
      </w:r>
      <w:r w:rsidR="001F7A2F">
        <w:rPr>
          <w:lang w:val="en-US"/>
        </w:rPr>
        <w:t>, but nevertheless, higher</w:t>
      </w:r>
      <w:r w:rsidR="009647AC">
        <w:rPr>
          <w:lang w:val="en-US"/>
        </w:rPr>
        <w:t xml:space="preserve"> cause</w:t>
      </w:r>
      <w:r w:rsidR="005D4EE3">
        <w:rPr>
          <w:lang w:val="en-US"/>
        </w:rPr>
        <w:t xml:space="preserve">. </w:t>
      </w:r>
      <w:r w:rsidR="00D201C1">
        <w:rPr>
          <w:lang w:val="en-US"/>
        </w:rPr>
        <w:t xml:space="preserve">Yes, prophets may often find themselves </w:t>
      </w:r>
      <w:r w:rsidR="006A0E46">
        <w:rPr>
          <w:lang w:val="en-US"/>
        </w:rPr>
        <w:t>taking</w:t>
      </w:r>
      <w:r w:rsidR="00D201C1">
        <w:rPr>
          <w:lang w:val="en-US"/>
        </w:rPr>
        <w:t xml:space="preserve"> a </w:t>
      </w:r>
      <w:r w:rsidR="00291EFD">
        <w:rPr>
          <w:lang w:val="en-US"/>
        </w:rPr>
        <w:t>“</w:t>
      </w:r>
      <w:r w:rsidR="00D201C1">
        <w:rPr>
          <w:lang w:val="en-US"/>
        </w:rPr>
        <w:t>leap of faith</w:t>
      </w:r>
      <w:r w:rsidR="00291EFD">
        <w:rPr>
          <w:lang w:val="en-US"/>
        </w:rPr>
        <w:t>”</w:t>
      </w:r>
      <w:r w:rsidR="00D201C1">
        <w:rPr>
          <w:lang w:val="en-US"/>
        </w:rPr>
        <w:t xml:space="preserve"> into the unknown</w:t>
      </w:r>
      <w:r w:rsidR="007540EE">
        <w:rPr>
          <w:lang w:val="en-US"/>
        </w:rPr>
        <w:t>, making great sacrifices</w:t>
      </w:r>
      <w:r w:rsidR="00291EFD">
        <w:rPr>
          <w:lang w:val="en-US"/>
        </w:rPr>
        <w:t>, abandoning the nets and following a rabbi who Himself had nowhere to lay His head</w:t>
      </w:r>
      <w:r w:rsidR="00103D0A">
        <w:rPr>
          <w:lang w:val="en-US"/>
        </w:rPr>
        <w:t>.</w:t>
      </w:r>
      <w:r w:rsidR="00291EFD">
        <w:rPr>
          <w:lang w:val="en-US"/>
        </w:rPr>
        <w:t xml:space="preserve"> </w:t>
      </w:r>
      <w:proofErr w:type="gramStart"/>
      <w:r w:rsidR="00291EFD">
        <w:rPr>
          <w:lang w:val="en-US"/>
        </w:rPr>
        <w:t>But for what purpose?</w:t>
      </w:r>
      <w:proofErr w:type="gramEnd"/>
      <w:r w:rsidR="00291EFD">
        <w:rPr>
          <w:lang w:val="en-US"/>
        </w:rPr>
        <w:t xml:space="preserve"> Why such sacrifice?</w:t>
      </w:r>
      <w:r w:rsidR="007540EE">
        <w:rPr>
          <w:lang w:val="en-US"/>
        </w:rPr>
        <w:t xml:space="preserve"> </w:t>
      </w:r>
      <w:proofErr w:type="gramStart"/>
      <w:r w:rsidR="00291EFD">
        <w:rPr>
          <w:lang w:val="en-US"/>
        </w:rPr>
        <w:t xml:space="preserve">In order to preserve the </w:t>
      </w:r>
      <w:r w:rsidR="00291EFD" w:rsidRPr="006A0E46">
        <w:rPr>
          <w:i/>
          <w:iCs/>
          <w:lang w:val="en-US"/>
        </w:rPr>
        <w:t>meaning</w:t>
      </w:r>
      <w:r w:rsidR="00291EFD">
        <w:rPr>
          <w:lang w:val="en-US"/>
        </w:rPr>
        <w:t xml:space="preserve"> of our existence, a life beyond “bread</w:t>
      </w:r>
      <w:r w:rsidR="006A0E46">
        <w:rPr>
          <w:lang w:val="en-US"/>
        </w:rPr>
        <w:t>.</w:t>
      </w:r>
      <w:r w:rsidR="00291EFD">
        <w:rPr>
          <w:lang w:val="en-US"/>
        </w:rPr>
        <w:t>”</w:t>
      </w:r>
      <w:proofErr w:type="gramEnd"/>
      <w:r w:rsidR="00291EFD">
        <w:rPr>
          <w:lang w:val="en-US"/>
        </w:rPr>
        <w:t xml:space="preserve"> </w:t>
      </w:r>
      <w:r w:rsidR="00103D0A">
        <w:rPr>
          <w:lang w:val="en-US"/>
        </w:rPr>
        <w:t>We need arts, we need literature, we need the humanities</w:t>
      </w:r>
      <w:r w:rsidR="006A0E46">
        <w:rPr>
          <w:lang w:val="en-US"/>
        </w:rPr>
        <w:t>,</w:t>
      </w:r>
      <w:r w:rsidR="00103D0A">
        <w:rPr>
          <w:lang w:val="en-US"/>
        </w:rPr>
        <w:t xml:space="preserve"> </w:t>
      </w:r>
      <w:r w:rsidR="006A0E46">
        <w:rPr>
          <w:lang w:val="en-US"/>
        </w:rPr>
        <w:t>but</w:t>
      </w:r>
      <w:r w:rsidR="00103D0A">
        <w:rPr>
          <w:lang w:val="en-US"/>
        </w:rPr>
        <w:t xml:space="preserve"> above all we need theology</w:t>
      </w:r>
      <w:r w:rsidR="00734A00">
        <w:rPr>
          <w:lang w:val="en-US"/>
        </w:rPr>
        <w:t>, His word</w:t>
      </w:r>
      <w:r w:rsidR="00103D0A">
        <w:rPr>
          <w:lang w:val="en-US"/>
        </w:rPr>
        <w:t>, for this is what gives meaning to our existence</w:t>
      </w:r>
      <w:r w:rsidR="00291EFD">
        <w:rPr>
          <w:lang w:val="en-US"/>
        </w:rPr>
        <w:t>. In</w:t>
      </w:r>
      <w:r w:rsidR="00103D0A">
        <w:rPr>
          <w:lang w:val="en-US"/>
        </w:rPr>
        <w:t xml:space="preserve"> our secular world </w:t>
      </w:r>
      <w:r w:rsidR="00734A00">
        <w:rPr>
          <w:lang w:val="en-US"/>
        </w:rPr>
        <w:t>with its</w:t>
      </w:r>
      <w:r w:rsidR="00103D0A">
        <w:rPr>
          <w:lang w:val="en-US"/>
        </w:rPr>
        <w:t xml:space="preserve"> “fertility religions”</w:t>
      </w:r>
      <w:r w:rsidR="00291EFD">
        <w:rPr>
          <w:lang w:val="en-US"/>
        </w:rPr>
        <w:t xml:space="preserve"> it will take sacrifices to </w:t>
      </w:r>
      <w:r w:rsidR="007540EE">
        <w:rPr>
          <w:lang w:val="en-US"/>
        </w:rPr>
        <w:t>preserve this meaning and pass it on to the next generation</w:t>
      </w:r>
      <w:r w:rsidR="00F91D28">
        <w:rPr>
          <w:lang w:val="en-US"/>
        </w:rPr>
        <w:t>. Theological education must go on even if no one is willing to pay for it</w:t>
      </w:r>
      <w:r w:rsidR="007540EE">
        <w:rPr>
          <w:lang w:val="en-US"/>
        </w:rPr>
        <w:t>.</w:t>
      </w:r>
      <w:r w:rsidR="00734A00">
        <w:rPr>
          <w:lang w:val="en-US"/>
        </w:rPr>
        <w:t xml:space="preserve"> As Dietrich </w:t>
      </w:r>
      <w:proofErr w:type="spellStart"/>
      <w:r w:rsidR="00734A00">
        <w:rPr>
          <w:lang w:val="en-US"/>
        </w:rPr>
        <w:t>Bonhoeffer</w:t>
      </w:r>
      <w:proofErr w:type="spellEnd"/>
      <w:r w:rsidR="00734A00">
        <w:rPr>
          <w:lang w:val="en-US"/>
        </w:rPr>
        <w:t xml:space="preserve"> said, “When Christ calls a man, he bids him come and die,” and we do not hide this reality from our prophets. We teachers often collect money to support a student who took that leap of faith. Prophets will understand</w:t>
      </w:r>
      <w:r w:rsidR="006A0E46">
        <w:rPr>
          <w:lang w:val="en-US"/>
        </w:rPr>
        <w:t xml:space="preserve"> other</w:t>
      </w:r>
      <w:r w:rsidR="00734A00">
        <w:rPr>
          <w:lang w:val="en-US"/>
        </w:rPr>
        <w:t xml:space="preserve"> prophets because they are the </w:t>
      </w:r>
      <w:r w:rsidR="00F91D28">
        <w:rPr>
          <w:lang w:val="en-US"/>
        </w:rPr>
        <w:t xml:space="preserve">first </w:t>
      </w:r>
      <w:r w:rsidR="00734A00">
        <w:rPr>
          <w:lang w:val="en-US"/>
        </w:rPr>
        <w:t xml:space="preserve">ones </w:t>
      </w:r>
      <w:r w:rsidR="00F91D28">
        <w:rPr>
          <w:lang w:val="en-US"/>
        </w:rPr>
        <w:t>to</w:t>
      </w:r>
      <w:r w:rsidR="00734A00">
        <w:rPr>
          <w:lang w:val="en-US"/>
        </w:rPr>
        <w:t xml:space="preserve"> see the value of this sacrifice.</w:t>
      </w:r>
      <w:r w:rsidR="00F91D28">
        <w:rPr>
          <w:lang w:val="en-US"/>
        </w:rPr>
        <w:t xml:space="preserve"> Solidarity is expected not only among individual prophets but among schools of prophets. We must devise ways of helping each other and sharing the burden</w:t>
      </w:r>
      <w:r w:rsidR="0013588E">
        <w:rPr>
          <w:lang w:val="en-US"/>
        </w:rPr>
        <w:t xml:space="preserve"> of preserving th</w:t>
      </w:r>
      <w:r w:rsidR="006A0E46">
        <w:rPr>
          <w:lang w:val="en-US"/>
        </w:rPr>
        <w:t>is</w:t>
      </w:r>
      <w:r w:rsidR="0013588E">
        <w:rPr>
          <w:lang w:val="en-US"/>
        </w:rPr>
        <w:t xml:space="preserve"> treasure </w:t>
      </w:r>
      <w:r w:rsidR="006A0E46">
        <w:rPr>
          <w:lang w:val="en-US"/>
        </w:rPr>
        <w:t>that has been handed down to us</w:t>
      </w:r>
      <w:r w:rsidR="0013588E">
        <w:rPr>
          <w:lang w:val="en-US"/>
        </w:rPr>
        <w:t xml:space="preserve">. </w:t>
      </w:r>
    </w:p>
    <w:p w:rsidR="00660D6F" w:rsidRPr="008623AF" w:rsidRDefault="001F7A2F" w:rsidP="006B2683">
      <w:pPr>
        <w:pStyle w:val="Heading1"/>
        <w:spacing w:before="0"/>
        <w:contextualSpacing/>
        <w:jc w:val="both"/>
        <w:rPr>
          <w:lang w:val="en-US"/>
        </w:rPr>
      </w:pPr>
      <w:r>
        <w:rPr>
          <w:lang w:val="en-US"/>
        </w:rPr>
        <w:lastRenderedPageBreak/>
        <w:t>2. Exposing</w:t>
      </w:r>
      <w:r w:rsidR="00F52C0A" w:rsidRPr="008623AF">
        <w:rPr>
          <w:lang w:val="en-US"/>
        </w:rPr>
        <w:t xml:space="preserve"> the Church’s Pious Talk</w:t>
      </w:r>
    </w:p>
    <w:p w:rsidR="00821502" w:rsidRDefault="00115002" w:rsidP="00D201C1">
      <w:pPr>
        <w:contextualSpacing/>
        <w:jc w:val="both"/>
        <w:rPr>
          <w:lang w:val="en-US"/>
        </w:rPr>
      </w:pPr>
      <w:r>
        <w:rPr>
          <w:lang w:val="en-US"/>
        </w:rPr>
        <w:t xml:space="preserve">It is often difficult for the church to discern when they are “living on bread </w:t>
      </w:r>
      <w:r w:rsidRPr="00115002">
        <w:rPr>
          <w:i/>
          <w:iCs/>
          <w:lang w:val="en-US"/>
        </w:rPr>
        <w:t>alone</w:t>
      </w:r>
      <w:r>
        <w:rPr>
          <w:lang w:val="en-US"/>
        </w:rPr>
        <w:t xml:space="preserve">” because they </w:t>
      </w:r>
      <w:r w:rsidRPr="00115002">
        <w:rPr>
          <w:i/>
          <w:iCs/>
          <w:lang w:val="en-US"/>
        </w:rPr>
        <w:t>talk</w:t>
      </w:r>
      <w:r>
        <w:rPr>
          <w:lang w:val="en-US"/>
        </w:rPr>
        <w:t xml:space="preserve"> about their reality a</w:t>
      </w:r>
      <w:r w:rsidR="00BF0AB4">
        <w:rPr>
          <w:lang w:val="en-US"/>
        </w:rPr>
        <w:t>s</w:t>
      </w:r>
      <w:r>
        <w:rPr>
          <w:lang w:val="en-US"/>
        </w:rPr>
        <w:t xml:space="preserve"> </w:t>
      </w:r>
      <w:r w:rsidR="001F7A2F">
        <w:rPr>
          <w:lang w:val="en-US"/>
        </w:rPr>
        <w:t xml:space="preserve">if </w:t>
      </w:r>
      <w:r w:rsidR="00625189">
        <w:rPr>
          <w:lang w:val="en-US"/>
        </w:rPr>
        <w:t>living by “every word that comes out of God’s mouth”. It is a</w:t>
      </w:r>
      <w:r w:rsidR="00D201C1">
        <w:rPr>
          <w:lang w:val="en-US"/>
        </w:rPr>
        <w:t>n</w:t>
      </w:r>
      <w:r w:rsidR="00625189">
        <w:rPr>
          <w:lang w:val="en-US"/>
        </w:rPr>
        <w:t xml:space="preserve"> </w:t>
      </w:r>
      <w:r w:rsidR="00D201C1">
        <w:rPr>
          <w:lang w:val="en-US"/>
        </w:rPr>
        <w:t>image</w:t>
      </w:r>
      <w:r w:rsidR="00625189">
        <w:rPr>
          <w:lang w:val="en-US"/>
        </w:rPr>
        <w:t xml:space="preserve"> constructed by “comfort talk” </w:t>
      </w:r>
      <w:r>
        <w:rPr>
          <w:lang w:val="en-US"/>
        </w:rPr>
        <w:t>that</w:t>
      </w:r>
      <w:r w:rsidR="000D54BD">
        <w:rPr>
          <w:lang w:val="en-US"/>
        </w:rPr>
        <w:t xml:space="preserve"> </w:t>
      </w:r>
      <w:r w:rsidR="00625189">
        <w:rPr>
          <w:lang w:val="en-US"/>
        </w:rPr>
        <w:t>does not always correspo</w:t>
      </w:r>
      <w:r w:rsidR="00821502">
        <w:rPr>
          <w:lang w:val="en-US"/>
        </w:rPr>
        <w:t>nd to the reality it describes. Prophets are trained to discern this “pious talk” as Isaiah does in 29:13: “…t</w:t>
      </w:r>
      <w:r w:rsidR="00821502" w:rsidRPr="00821502">
        <w:rPr>
          <w:lang w:val="en-US"/>
        </w:rPr>
        <w:t>his people draw near with their mouth and honor me with their lips, while their hearts are far from me</w:t>
      </w:r>
      <w:r w:rsidR="00821502">
        <w:rPr>
          <w:lang w:val="en-US"/>
        </w:rPr>
        <w:t>.”</w:t>
      </w:r>
      <w:r w:rsidR="001F7A2F">
        <w:rPr>
          <w:lang w:val="en-US"/>
        </w:rPr>
        <w:t xml:space="preserve"> It is amazing how he was able to perceive that even with the cult functioning regularly!</w:t>
      </w:r>
    </w:p>
    <w:p w:rsidR="001A6777" w:rsidRDefault="00625189" w:rsidP="009C2741">
      <w:pPr>
        <w:ind w:firstLine="720"/>
        <w:contextualSpacing/>
        <w:jc w:val="both"/>
        <w:rPr>
          <w:lang w:val="en-US"/>
        </w:rPr>
      </w:pPr>
      <w:r>
        <w:rPr>
          <w:lang w:val="en-US"/>
        </w:rPr>
        <w:t>This mode of existence is very subtle because the way of the church may be indistinguishable from the secular way but the</w:t>
      </w:r>
      <w:r w:rsidR="000D54BD">
        <w:rPr>
          <w:lang w:val="en-US"/>
        </w:rPr>
        <w:t xml:space="preserve"> manner in which the church interprets </w:t>
      </w:r>
      <w:r w:rsidR="00E916EE">
        <w:rPr>
          <w:lang w:val="en-US"/>
        </w:rPr>
        <w:t>her</w:t>
      </w:r>
      <w:r w:rsidR="000D54BD">
        <w:rPr>
          <w:lang w:val="en-US"/>
        </w:rPr>
        <w:t xml:space="preserve"> life, thoughts and choices </w:t>
      </w:r>
      <w:r>
        <w:rPr>
          <w:lang w:val="en-US"/>
        </w:rPr>
        <w:t xml:space="preserve">is dressed in “pious talk”. </w:t>
      </w:r>
      <w:r w:rsidR="00C55A8B">
        <w:rPr>
          <w:lang w:val="en-US"/>
        </w:rPr>
        <w:t xml:space="preserve">One example from my Greek context is how the </w:t>
      </w:r>
      <w:r w:rsidR="00C55A8B" w:rsidRPr="00C55A8B">
        <w:rPr>
          <w:i/>
          <w:iCs/>
          <w:lang w:val="en-US"/>
        </w:rPr>
        <w:t>Sola</w:t>
      </w:r>
      <w:r w:rsidR="00C55A8B">
        <w:rPr>
          <w:lang w:val="en-US"/>
        </w:rPr>
        <w:t xml:space="preserve"> </w:t>
      </w:r>
      <w:r w:rsidR="00C55A8B" w:rsidRPr="00C55A8B">
        <w:rPr>
          <w:i/>
          <w:iCs/>
          <w:lang w:val="en-US"/>
        </w:rPr>
        <w:t>Scriptura</w:t>
      </w:r>
      <w:r w:rsidR="00C55A8B">
        <w:rPr>
          <w:lang w:val="en-US"/>
        </w:rPr>
        <w:t xml:space="preserve"> principle is used by evangelicals to define </w:t>
      </w:r>
      <w:proofErr w:type="gramStart"/>
      <w:r w:rsidR="00C55A8B">
        <w:rPr>
          <w:lang w:val="en-US"/>
        </w:rPr>
        <w:t>themselves</w:t>
      </w:r>
      <w:proofErr w:type="gramEnd"/>
      <w:r w:rsidR="00C55A8B">
        <w:rPr>
          <w:lang w:val="en-US"/>
        </w:rPr>
        <w:t xml:space="preserve"> over against the Greek Orthodox. The principle becomes a distinctive of identity rather than an expression of the church’s practice. The</w:t>
      </w:r>
      <w:r w:rsidR="00643E20">
        <w:rPr>
          <w:lang w:val="en-US"/>
        </w:rPr>
        <w:t xml:space="preserve"> </w:t>
      </w:r>
      <w:r w:rsidR="00C55A8B">
        <w:rPr>
          <w:lang w:val="en-US"/>
        </w:rPr>
        <w:t>re</w:t>
      </w:r>
      <w:r w:rsidR="00643E20">
        <w:rPr>
          <w:lang w:val="en-US"/>
        </w:rPr>
        <w:t>ality is that there</w:t>
      </w:r>
      <w:r w:rsidR="00C55A8B">
        <w:rPr>
          <w:lang w:val="en-US"/>
        </w:rPr>
        <w:t xml:space="preserve"> is hardly found a</w:t>
      </w:r>
      <w:r w:rsidR="00643E20">
        <w:rPr>
          <w:lang w:val="en-US"/>
        </w:rPr>
        <w:t xml:space="preserve"> </w:t>
      </w:r>
      <w:r w:rsidR="00643E20" w:rsidRPr="00643E20">
        <w:rPr>
          <w:i/>
          <w:iCs/>
          <w:lang w:val="en-US"/>
        </w:rPr>
        <w:t>Sola</w:t>
      </w:r>
      <w:r w:rsidR="00643E20">
        <w:rPr>
          <w:lang w:val="en-US"/>
        </w:rPr>
        <w:t xml:space="preserve"> </w:t>
      </w:r>
      <w:r w:rsidR="00643E20" w:rsidRPr="00643E20">
        <w:rPr>
          <w:i/>
          <w:iCs/>
          <w:lang w:val="en-US"/>
        </w:rPr>
        <w:t>Scriptura</w:t>
      </w:r>
      <w:r w:rsidR="00C55A8B">
        <w:rPr>
          <w:lang w:val="en-US"/>
        </w:rPr>
        <w:t xml:space="preserve"> church with serious scriptural catechism for</w:t>
      </w:r>
      <w:r w:rsidR="001F7A2F">
        <w:rPr>
          <w:lang w:val="en-US"/>
        </w:rPr>
        <w:t xml:space="preserve"> all</w:t>
      </w:r>
      <w:r w:rsidR="00C55A8B">
        <w:rPr>
          <w:lang w:val="en-US"/>
        </w:rPr>
        <w:t xml:space="preserve"> its members</w:t>
      </w:r>
      <w:r w:rsidR="00277228">
        <w:rPr>
          <w:lang w:val="en-US"/>
        </w:rPr>
        <w:t xml:space="preserve">, but even when a church attempts to provide such programs, they are only successful </w:t>
      </w:r>
      <w:r w:rsidR="009C2741">
        <w:rPr>
          <w:lang w:val="en-US"/>
        </w:rPr>
        <w:t>if</w:t>
      </w:r>
      <w:r w:rsidR="00277228">
        <w:rPr>
          <w:lang w:val="en-US"/>
        </w:rPr>
        <w:t xml:space="preserve"> they do not interfere with our “bread” pursuits. Moreover, o</w:t>
      </w:r>
      <w:r w:rsidR="00E916EE">
        <w:rPr>
          <w:lang w:val="en-US"/>
        </w:rPr>
        <w:t>nly a tiny minority would regard theological education as indispensable to being “evangelical</w:t>
      </w:r>
      <w:r w:rsidR="00255833">
        <w:rPr>
          <w:lang w:val="en-US"/>
        </w:rPr>
        <w:t>,</w:t>
      </w:r>
      <w:r w:rsidR="00E916EE">
        <w:rPr>
          <w:lang w:val="en-US"/>
        </w:rPr>
        <w:t>”</w:t>
      </w:r>
      <w:r w:rsidR="00255833">
        <w:rPr>
          <w:lang w:val="en-US"/>
        </w:rPr>
        <w:t xml:space="preserve"> even an “evangelical pastor.”</w:t>
      </w:r>
    </w:p>
    <w:p w:rsidR="00C55A8B" w:rsidRDefault="001A6777" w:rsidP="009C2741">
      <w:pPr>
        <w:ind w:firstLine="720"/>
        <w:contextualSpacing/>
        <w:jc w:val="both"/>
        <w:rPr>
          <w:lang w:val="en-US"/>
        </w:rPr>
      </w:pPr>
      <w:r>
        <w:rPr>
          <w:lang w:val="en-US"/>
        </w:rPr>
        <w:t xml:space="preserve">“Comfort talk” is also active in the Greek Orthodox tradition which uses its doctrine of </w:t>
      </w:r>
      <w:proofErr w:type="spellStart"/>
      <w:proofErr w:type="gramStart"/>
      <w:r>
        <w:rPr>
          <w:lang w:val="en-US"/>
        </w:rPr>
        <w:t>eucharistic</w:t>
      </w:r>
      <w:proofErr w:type="spellEnd"/>
      <w:proofErr w:type="gramEnd"/>
      <w:r>
        <w:rPr>
          <w:lang w:val="en-US"/>
        </w:rPr>
        <w:t xml:space="preserve"> unity in communion to define itself over against protestant denominationalism. However, </w:t>
      </w:r>
      <w:r w:rsidR="009C2741">
        <w:rPr>
          <w:lang w:val="en-US"/>
        </w:rPr>
        <w:t xml:space="preserve">on the ground, and especially in the Greek context, the situation does not correspond to the romantic realities this </w:t>
      </w:r>
      <w:r>
        <w:rPr>
          <w:lang w:val="en-US"/>
        </w:rPr>
        <w:t>doctrine</w:t>
      </w:r>
      <w:r w:rsidR="009C2741">
        <w:rPr>
          <w:lang w:val="en-US"/>
        </w:rPr>
        <w:t xml:space="preserve"> describes</w:t>
      </w:r>
      <w:r>
        <w:rPr>
          <w:lang w:val="en-US"/>
        </w:rPr>
        <w:t>.</w:t>
      </w:r>
      <w:r w:rsidR="009C2741">
        <w:rPr>
          <w:lang w:val="en-US"/>
        </w:rPr>
        <w:t xml:space="preserve"> The Orthodox </w:t>
      </w:r>
      <w:proofErr w:type="gramStart"/>
      <w:r w:rsidR="009C2741">
        <w:rPr>
          <w:lang w:val="en-US"/>
        </w:rPr>
        <w:t>c</w:t>
      </w:r>
      <w:r w:rsidR="00AA1771">
        <w:rPr>
          <w:lang w:val="en-US"/>
        </w:rPr>
        <w:t>hurch</w:t>
      </w:r>
      <w:proofErr w:type="gramEnd"/>
      <w:r w:rsidR="00AA1771">
        <w:rPr>
          <w:lang w:val="en-US"/>
        </w:rPr>
        <w:t xml:space="preserve"> is fragmented between vocal</w:t>
      </w:r>
      <w:r w:rsidR="009C2741">
        <w:rPr>
          <w:lang w:val="en-US"/>
        </w:rPr>
        <w:t xml:space="preserve"> fundamentalist and nationalistic groups </w:t>
      </w:r>
      <w:r w:rsidR="00AA1771">
        <w:rPr>
          <w:lang w:val="en-US"/>
        </w:rPr>
        <w:t xml:space="preserve">opposing </w:t>
      </w:r>
      <w:r w:rsidR="009C2741">
        <w:rPr>
          <w:lang w:val="en-US"/>
        </w:rPr>
        <w:t>others of a more ecumenical orientation</w:t>
      </w:r>
      <w:r w:rsidR="00AA1771">
        <w:rPr>
          <w:lang w:val="en-US"/>
        </w:rPr>
        <w:t>.</w:t>
      </w:r>
      <w:r w:rsidR="00AA1771">
        <w:rPr>
          <w:rStyle w:val="FootnoteReference"/>
          <w:lang w:val="en-US"/>
        </w:rPr>
        <w:footnoteReference w:id="7"/>
      </w:r>
      <w:r w:rsidR="00AA1771">
        <w:rPr>
          <w:lang w:val="en-US"/>
        </w:rPr>
        <w:t xml:space="preserve"> </w:t>
      </w:r>
    </w:p>
    <w:p w:rsidR="002E78C8" w:rsidRDefault="00625189" w:rsidP="00F0211C">
      <w:pPr>
        <w:ind w:firstLine="720"/>
        <w:contextualSpacing/>
        <w:jc w:val="both"/>
        <w:rPr>
          <w:lang w:val="en-US"/>
        </w:rPr>
      </w:pPr>
      <w:r>
        <w:rPr>
          <w:lang w:val="en-US"/>
        </w:rPr>
        <w:t xml:space="preserve">The role of the prophets is to subvert the church’s </w:t>
      </w:r>
      <w:r w:rsidR="00643E20">
        <w:rPr>
          <w:lang w:val="en-US"/>
        </w:rPr>
        <w:t>“</w:t>
      </w:r>
      <w:r>
        <w:rPr>
          <w:lang w:val="en-US"/>
        </w:rPr>
        <w:t>comfort talk</w:t>
      </w:r>
      <w:r w:rsidR="00643E20">
        <w:rPr>
          <w:lang w:val="en-US"/>
        </w:rPr>
        <w:t>”</w:t>
      </w:r>
      <w:r>
        <w:rPr>
          <w:lang w:val="en-US"/>
        </w:rPr>
        <w:t xml:space="preserve"> by pointing out the </w:t>
      </w:r>
      <w:r w:rsidR="00E916EE">
        <w:rPr>
          <w:lang w:val="en-US"/>
        </w:rPr>
        <w:t>dissonance</w:t>
      </w:r>
      <w:r>
        <w:rPr>
          <w:lang w:val="en-US"/>
        </w:rPr>
        <w:t xml:space="preserve"> between life and doctrine. </w:t>
      </w:r>
      <w:r w:rsidR="00CF3F76">
        <w:rPr>
          <w:lang w:val="en-US"/>
        </w:rPr>
        <w:t>The wealth of scriptural examples of the proph</w:t>
      </w:r>
      <w:r w:rsidR="00277228">
        <w:rPr>
          <w:lang w:val="en-US"/>
        </w:rPr>
        <w:t>ets’ subversion is astonishing.</w:t>
      </w:r>
    </w:p>
    <w:p w:rsidR="002E78C8" w:rsidRDefault="009405A7" w:rsidP="00B5122A">
      <w:pPr>
        <w:ind w:firstLine="720"/>
        <w:contextualSpacing/>
        <w:jc w:val="both"/>
        <w:rPr>
          <w:lang w:val="en-US"/>
        </w:rPr>
      </w:pPr>
      <w:r>
        <w:rPr>
          <w:lang w:val="en-US"/>
        </w:rPr>
        <w:t xml:space="preserve">The New Testament prophet, </w:t>
      </w:r>
      <w:r w:rsidR="002E78C8">
        <w:rPr>
          <w:lang w:val="en-US"/>
        </w:rPr>
        <w:t>John</w:t>
      </w:r>
      <w:r w:rsidR="00B5122A">
        <w:rPr>
          <w:lang w:val="en-US"/>
        </w:rPr>
        <w:t>,</w:t>
      </w:r>
      <w:r w:rsidR="002E78C8">
        <w:rPr>
          <w:lang w:val="en-US"/>
        </w:rPr>
        <w:t xml:space="preserve"> in Revelation 3:17</w:t>
      </w:r>
      <w:r>
        <w:rPr>
          <w:lang w:val="en-US"/>
        </w:rPr>
        <w:t>,</w:t>
      </w:r>
      <w:r w:rsidR="002E78C8">
        <w:rPr>
          <w:lang w:val="en-US"/>
        </w:rPr>
        <w:t xml:space="preserve"> reveals the dissonance </w:t>
      </w:r>
      <w:r w:rsidR="00B5122A">
        <w:rPr>
          <w:lang w:val="en-US"/>
        </w:rPr>
        <w:t>between</w:t>
      </w:r>
      <w:r w:rsidR="002E78C8">
        <w:rPr>
          <w:lang w:val="en-US"/>
        </w:rPr>
        <w:t xml:space="preserve"> the church’s self-perception and the actual reality</w:t>
      </w:r>
      <w:r w:rsidR="00B5122A">
        <w:rPr>
          <w:lang w:val="en-US"/>
        </w:rPr>
        <w:t xml:space="preserve">: </w:t>
      </w:r>
      <w:r w:rsidR="002E78C8">
        <w:rPr>
          <w:lang w:val="en-US"/>
        </w:rPr>
        <w:t>“</w:t>
      </w:r>
      <w:r w:rsidR="002E78C8" w:rsidRPr="002E78C8">
        <w:rPr>
          <w:lang w:val="en-US"/>
        </w:rPr>
        <w:t xml:space="preserve">For you </w:t>
      </w:r>
      <w:r w:rsidR="002E78C8" w:rsidRPr="00255833">
        <w:rPr>
          <w:i/>
          <w:iCs/>
          <w:lang w:val="en-US"/>
        </w:rPr>
        <w:t>say</w:t>
      </w:r>
      <w:r w:rsidR="002E78C8" w:rsidRPr="002E78C8">
        <w:rPr>
          <w:lang w:val="en-US"/>
        </w:rPr>
        <w:t xml:space="preserve">, I am rich, I </w:t>
      </w:r>
      <w:r w:rsidR="002E78C8" w:rsidRPr="002E78C8">
        <w:rPr>
          <w:lang w:val="en-US"/>
        </w:rPr>
        <w:lastRenderedPageBreak/>
        <w:t>have prospered, and I need nothing, not realizing that you are wretched, pitiable, poor, blind, and naked.</w:t>
      </w:r>
      <w:r w:rsidR="00B5122A">
        <w:rPr>
          <w:lang w:val="en-US"/>
        </w:rPr>
        <w:t>”</w:t>
      </w:r>
    </w:p>
    <w:p w:rsidR="00CF3F76" w:rsidRDefault="00CF3F76" w:rsidP="00277228">
      <w:pPr>
        <w:ind w:firstLine="720"/>
        <w:contextualSpacing/>
        <w:jc w:val="both"/>
        <w:rPr>
          <w:lang w:val="en-US"/>
        </w:rPr>
      </w:pPr>
      <w:r>
        <w:rPr>
          <w:lang w:val="en-US"/>
        </w:rPr>
        <w:t xml:space="preserve">In Amos’ time the eschatology of the expected “Day of the Lord” was used as “comfort talk” instead of transforming </w:t>
      </w:r>
      <w:r w:rsidR="006C6381">
        <w:rPr>
          <w:lang w:val="en-US"/>
        </w:rPr>
        <w:t>Israel’s</w:t>
      </w:r>
      <w:r>
        <w:rPr>
          <w:lang w:val="en-US"/>
        </w:rPr>
        <w:t xml:space="preserve"> lives in anticipation of such a day. </w:t>
      </w:r>
      <w:r w:rsidR="00625189">
        <w:rPr>
          <w:lang w:val="en-US"/>
        </w:rPr>
        <w:t xml:space="preserve">Amos </w:t>
      </w:r>
      <w:r w:rsidR="006C6381">
        <w:rPr>
          <w:lang w:val="en-US"/>
        </w:rPr>
        <w:t>scrapes</w:t>
      </w:r>
      <w:r w:rsidR="00625189">
        <w:rPr>
          <w:lang w:val="en-US"/>
        </w:rPr>
        <w:t xml:space="preserve"> the surface of</w:t>
      </w:r>
      <w:r>
        <w:rPr>
          <w:lang w:val="en-US"/>
        </w:rPr>
        <w:t xml:space="preserve"> this</w:t>
      </w:r>
      <w:r w:rsidR="00625189">
        <w:rPr>
          <w:lang w:val="en-US"/>
        </w:rPr>
        <w:t xml:space="preserve"> pious talk</w:t>
      </w:r>
      <w:r>
        <w:rPr>
          <w:lang w:val="en-US"/>
        </w:rPr>
        <w:t xml:space="preserve"> and reveals the inconsistency between their life and eschatology.</w:t>
      </w:r>
      <w:r w:rsidR="00625189">
        <w:rPr>
          <w:lang w:val="en-US"/>
        </w:rPr>
        <w:t xml:space="preserve"> </w:t>
      </w:r>
    </w:p>
    <w:p w:rsidR="006C6381" w:rsidRPr="00C53DE3" w:rsidRDefault="00625189" w:rsidP="00F67AB2">
      <w:pPr>
        <w:ind w:firstLine="720"/>
        <w:contextualSpacing/>
        <w:jc w:val="both"/>
        <w:rPr>
          <w:lang w:val="en-US"/>
        </w:rPr>
      </w:pPr>
      <w:r>
        <w:rPr>
          <w:lang w:val="en-US"/>
        </w:rPr>
        <w:t xml:space="preserve">Jeremiah </w:t>
      </w:r>
      <w:r w:rsidR="006C6381">
        <w:rPr>
          <w:lang w:val="en-US"/>
        </w:rPr>
        <w:t xml:space="preserve">in his temple sermon </w:t>
      </w:r>
      <w:r>
        <w:rPr>
          <w:lang w:val="en-US"/>
        </w:rPr>
        <w:t xml:space="preserve">criticizes their </w:t>
      </w:r>
      <w:r w:rsidRPr="00255833">
        <w:rPr>
          <w:i/>
          <w:iCs/>
          <w:lang w:val="en-US"/>
        </w:rPr>
        <w:t>chatter</w:t>
      </w:r>
      <w:r w:rsidR="006C6381">
        <w:rPr>
          <w:lang w:val="en-US"/>
        </w:rPr>
        <w:t xml:space="preserve">: </w:t>
      </w:r>
      <w:r>
        <w:rPr>
          <w:lang w:val="en-US"/>
        </w:rPr>
        <w:t>“</w:t>
      </w:r>
      <w:r w:rsidR="006C6381">
        <w:rPr>
          <w:lang w:val="en-US"/>
        </w:rPr>
        <w:t xml:space="preserve">Do not trust in deceptive words, saying, ‘This is </w:t>
      </w:r>
      <w:r>
        <w:rPr>
          <w:lang w:val="en-US"/>
        </w:rPr>
        <w:t>the temple of the Lord</w:t>
      </w:r>
      <w:r w:rsidR="006C6381">
        <w:rPr>
          <w:lang w:val="en-US"/>
        </w:rPr>
        <w:t xml:space="preserve">, the temple of the Lord, </w:t>
      </w:r>
      <w:proofErr w:type="gramStart"/>
      <w:r w:rsidR="006C6381">
        <w:rPr>
          <w:lang w:val="en-US"/>
        </w:rPr>
        <w:t>the</w:t>
      </w:r>
      <w:proofErr w:type="gramEnd"/>
      <w:r w:rsidR="006C6381">
        <w:rPr>
          <w:lang w:val="en-US"/>
        </w:rPr>
        <w:t xml:space="preserve"> temple of the Lord</w:t>
      </w:r>
      <w:r>
        <w:rPr>
          <w:lang w:val="en-US"/>
        </w:rPr>
        <w:t>”</w:t>
      </w:r>
      <w:r w:rsidR="006C6381">
        <w:rPr>
          <w:lang w:val="en-US"/>
        </w:rPr>
        <w:t xml:space="preserve"> (7:4</w:t>
      </w:r>
      <w:r>
        <w:rPr>
          <w:lang w:val="en-US"/>
        </w:rPr>
        <w:t>)</w:t>
      </w:r>
      <w:r w:rsidR="006C6381">
        <w:rPr>
          <w:lang w:val="en-US"/>
        </w:rPr>
        <w:t>.</w:t>
      </w:r>
      <w:r>
        <w:rPr>
          <w:lang w:val="en-US"/>
        </w:rPr>
        <w:t xml:space="preserve"> </w:t>
      </w:r>
      <w:r w:rsidR="006C6381">
        <w:rPr>
          <w:lang w:val="en-US"/>
        </w:rPr>
        <w:t>A precious and holy place</w:t>
      </w:r>
      <w:r w:rsidR="00277228">
        <w:rPr>
          <w:lang w:val="en-US"/>
        </w:rPr>
        <w:t xml:space="preserve"> ordained by God</w:t>
      </w:r>
      <w:r w:rsidR="006C6381">
        <w:rPr>
          <w:lang w:val="en-US"/>
        </w:rPr>
        <w:t xml:space="preserve"> had become the very thing that deceived them into false security. It had become an identity marker that had substituted the reality it was meant to signify. Richard S. Briggs </w:t>
      </w:r>
      <w:r w:rsidR="00FA5E97">
        <w:rPr>
          <w:lang w:val="en-US"/>
        </w:rPr>
        <w:t>uses</w:t>
      </w:r>
      <w:r w:rsidR="006C6381">
        <w:rPr>
          <w:lang w:val="en-US"/>
        </w:rPr>
        <w:t xml:space="preserve"> Jeremiah’s </w:t>
      </w:r>
      <w:r w:rsidR="00FA5E97">
        <w:rPr>
          <w:lang w:val="en-US"/>
        </w:rPr>
        <w:t>sermon and</w:t>
      </w:r>
      <w:r w:rsidR="006C6381">
        <w:rPr>
          <w:lang w:val="en-US"/>
        </w:rPr>
        <w:t xml:space="preserve"> substitut</w:t>
      </w:r>
      <w:r w:rsidR="00FA5E97">
        <w:rPr>
          <w:lang w:val="en-US"/>
        </w:rPr>
        <w:t>es</w:t>
      </w:r>
      <w:r w:rsidR="006C6381">
        <w:rPr>
          <w:lang w:val="en-US"/>
        </w:rPr>
        <w:t xml:space="preserve"> </w:t>
      </w:r>
      <w:r w:rsidR="000E786C">
        <w:rPr>
          <w:lang w:val="en-US"/>
        </w:rPr>
        <w:t>the temple</w:t>
      </w:r>
      <w:r w:rsidR="006C6381">
        <w:rPr>
          <w:lang w:val="en-US"/>
        </w:rPr>
        <w:t xml:space="preserve"> </w:t>
      </w:r>
      <w:r w:rsidR="00821502">
        <w:rPr>
          <w:lang w:val="en-US"/>
        </w:rPr>
        <w:t>by</w:t>
      </w:r>
      <w:r w:rsidR="006C6381">
        <w:rPr>
          <w:lang w:val="en-US"/>
        </w:rPr>
        <w:t xml:space="preserve"> scripture. He writes: “’This is the Scripture of the Lord, the Scripture of the Lord, </w:t>
      </w:r>
      <w:proofErr w:type="gramStart"/>
      <w:r w:rsidR="006C6381">
        <w:rPr>
          <w:lang w:val="en-US"/>
        </w:rPr>
        <w:t>the</w:t>
      </w:r>
      <w:proofErr w:type="gramEnd"/>
      <w:r w:rsidR="006C6381">
        <w:rPr>
          <w:lang w:val="en-US"/>
        </w:rPr>
        <w:t xml:space="preserve"> Scripture of the Lord.’ The implied shock would be worthy of Jeremiah’s temple sermon.”</w:t>
      </w:r>
      <w:r w:rsidR="006C6381">
        <w:rPr>
          <w:rStyle w:val="FootnoteReference"/>
          <w:lang w:val="en-US"/>
        </w:rPr>
        <w:footnoteReference w:id="8"/>
      </w:r>
      <w:r w:rsidR="004075E9">
        <w:rPr>
          <w:lang w:val="en-US"/>
        </w:rPr>
        <w:t xml:space="preserve"> What is condemned in this Jeremiah-like critique is the relia</w:t>
      </w:r>
      <w:r w:rsidR="00FA5E97">
        <w:rPr>
          <w:lang w:val="en-US"/>
        </w:rPr>
        <w:t>nce not on Scripture’s teachings, but on using the doctrine of Scripture as an identity marker that would offer one false security.</w:t>
      </w:r>
      <w:r w:rsidR="006A5AD8">
        <w:rPr>
          <w:lang w:val="en-US"/>
        </w:rPr>
        <w:t xml:space="preserve"> </w:t>
      </w:r>
      <w:r w:rsidR="006A5AD8" w:rsidRPr="00C53DE3">
        <w:rPr>
          <w:lang w:val="en-US"/>
        </w:rPr>
        <w:t>In 2007 in Budapest Chris Wright said: “My big concern is not just that the world church should become more evangelical, but that world evangelicals should become more biblical.”</w:t>
      </w:r>
      <w:r w:rsidR="0098431E">
        <w:rPr>
          <w:rStyle w:val="FootnoteReference"/>
          <w:lang w:val="en-US"/>
        </w:rPr>
        <w:footnoteReference w:id="9"/>
      </w:r>
      <w:r w:rsidR="006A5AD8" w:rsidRPr="00C53DE3">
        <w:rPr>
          <w:lang w:val="en-US"/>
        </w:rPr>
        <w:t xml:space="preserve"> This statement calls us to get behind the labels</w:t>
      </w:r>
      <w:r w:rsidR="00C53DE3" w:rsidRPr="00C53DE3">
        <w:rPr>
          <w:lang w:val="en-US"/>
        </w:rPr>
        <w:t xml:space="preserve"> and identity markers</w:t>
      </w:r>
      <w:r w:rsidR="006A5AD8" w:rsidRPr="00C53DE3">
        <w:rPr>
          <w:lang w:val="en-US"/>
        </w:rPr>
        <w:t xml:space="preserve"> which may have deceived us into thinking that we are in fact biblical only because we are evangelical.</w:t>
      </w:r>
    </w:p>
    <w:p w:rsidR="00007C28" w:rsidRDefault="00625189" w:rsidP="007147CD">
      <w:pPr>
        <w:ind w:firstLine="720"/>
        <w:contextualSpacing/>
        <w:jc w:val="both"/>
        <w:rPr>
          <w:lang w:val="en-US"/>
        </w:rPr>
      </w:pPr>
      <w:r w:rsidRPr="00C53DE3">
        <w:rPr>
          <w:lang w:val="en-US"/>
        </w:rPr>
        <w:t>These doctrines and jargon have anaesthetize</w:t>
      </w:r>
      <w:r>
        <w:rPr>
          <w:lang w:val="en-US"/>
        </w:rPr>
        <w:t xml:space="preserve">d the </w:t>
      </w:r>
      <w:r w:rsidR="00255833">
        <w:rPr>
          <w:lang w:val="en-US"/>
        </w:rPr>
        <w:t>churches</w:t>
      </w:r>
      <w:r>
        <w:rPr>
          <w:lang w:val="en-US"/>
        </w:rPr>
        <w:t xml:space="preserve"> to </w:t>
      </w:r>
      <w:r w:rsidR="000E786C">
        <w:rPr>
          <w:lang w:val="en-US"/>
        </w:rPr>
        <w:t>the realities and idols they have</w:t>
      </w:r>
      <w:r>
        <w:rPr>
          <w:lang w:val="en-US"/>
        </w:rPr>
        <w:t xml:space="preserve"> subscribed to unaware</w:t>
      </w:r>
      <w:r w:rsidR="007147CD">
        <w:rPr>
          <w:lang w:val="en-US"/>
        </w:rPr>
        <w:t>s</w:t>
      </w:r>
      <w:r>
        <w:rPr>
          <w:lang w:val="en-US"/>
        </w:rPr>
        <w:t>. Heidegger described this talk as “</w:t>
      </w:r>
      <w:r w:rsidRPr="00B5122A">
        <w:rPr>
          <w:lang w:val="en-US"/>
        </w:rPr>
        <w:t>idle talk</w:t>
      </w:r>
      <w:r>
        <w:rPr>
          <w:lang w:val="en-US"/>
        </w:rPr>
        <w:t>” (</w:t>
      </w:r>
      <w:proofErr w:type="spellStart"/>
      <w:r w:rsidRPr="007564F6">
        <w:rPr>
          <w:i/>
          <w:iCs/>
          <w:lang w:val="en-US"/>
        </w:rPr>
        <w:t>Gerede</w:t>
      </w:r>
      <w:proofErr w:type="spellEnd"/>
      <w:r>
        <w:rPr>
          <w:lang w:val="en-US"/>
        </w:rPr>
        <w:t xml:space="preserve">). </w:t>
      </w:r>
      <w:r w:rsidR="007147CD">
        <w:rPr>
          <w:lang w:val="en-US"/>
        </w:rPr>
        <w:t>Our</w:t>
      </w:r>
      <w:r>
        <w:rPr>
          <w:lang w:val="en-US"/>
        </w:rPr>
        <w:t xml:space="preserve"> interpretation of reality no longer contributes to our understanding of it. It functions like “gossip” or “passing the word around”</w:t>
      </w:r>
      <w:r w:rsidR="00821502">
        <w:rPr>
          <w:lang w:val="en-US"/>
        </w:rPr>
        <w:t>,</w:t>
      </w:r>
      <w:r w:rsidR="007147CD">
        <w:rPr>
          <w:lang w:val="en-US"/>
        </w:rPr>
        <w:t xml:space="preserve"> as</w:t>
      </w:r>
      <w:r w:rsidR="00821502">
        <w:rPr>
          <w:lang w:val="en-US"/>
        </w:rPr>
        <w:t xml:space="preserve"> he says</w:t>
      </w:r>
      <w:r>
        <w:rPr>
          <w:lang w:val="en-US"/>
        </w:rPr>
        <w:t>. And because this talk is passed around it is not able to reveal something about reality, but rather it obstructs the genuine understanding of reality.</w:t>
      </w:r>
      <w:r>
        <w:rPr>
          <w:rStyle w:val="FootnoteReference"/>
          <w:lang w:val="en-US"/>
        </w:rPr>
        <w:footnoteReference w:id="10"/>
      </w:r>
      <w:r>
        <w:rPr>
          <w:lang w:val="en-US"/>
        </w:rPr>
        <w:t xml:space="preserve"> Heidegger says that “an understanding of what is talked about is supposedly reached in idle talk. Because of this, idle talk discourages any new inquiry and any disputation, and in a peculiar way suppresses them and hold</w:t>
      </w:r>
      <w:r w:rsidR="002E78C8">
        <w:rPr>
          <w:lang w:val="en-US"/>
        </w:rPr>
        <w:t xml:space="preserve">s </w:t>
      </w:r>
      <w:r w:rsidR="002E78C8">
        <w:rPr>
          <w:lang w:val="en-US"/>
        </w:rPr>
        <w:lastRenderedPageBreak/>
        <w:t>them back.”</w:t>
      </w:r>
      <w:r w:rsidR="000E786C">
        <w:rPr>
          <w:lang w:val="en-US"/>
        </w:rPr>
        <w:t xml:space="preserve"> Our </w:t>
      </w:r>
      <w:r w:rsidR="007827F5">
        <w:rPr>
          <w:lang w:val="en-US"/>
        </w:rPr>
        <w:t>“traditional</w:t>
      </w:r>
      <w:r w:rsidR="009405A7">
        <w:rPr>
          <w:lang w:val="en-US"/>
        </w:rPr>
        <w:t>, doctrinal</w:t>
      </w:r>
      <w:r w:rsidR="007827F5">
        <w:rPr>
          <w:lang w:val="en-US"/>
        </w:rPr>
        <w:t xml:space="preserve">” </w:t>
      </w:r>
      <w:r w:rsidR="000E786C">
        <w:rPr>
          <w:lang w:val="en-US"/>
        </w:rPr>
        <w:t>talk about our reality can actually blind us to the reality being talked about.</w:t>
      </w:r>
    </w:p>
    <w:p w:rsidR="00666DAC" w:rsidRDefault="00F67AB2" w:rsidP="007147CD">
      <w:pPr>
        <w:ind w:firstLine="720"/>
        <w:contextualSpacing/>
        <w:jc w:val="both"/>
        <w:rPr>
          <w:lang w:val="en-US"/>
        </w:rPr>
      </w:pPr>
      <w:r>
        <w:rPr>
          <w:lang w:val="en-US"/>
        </w:rPr>
        <w:t xml:space="preserve">When the secular </w:t>
      </w:r>
      <w:r w:rsidR="00054912">
        <w:rPr>
          <w:lang w:val="en-US"/>
        </w:rPr>
        <w:t>tradition is subtly taking over</w:t>
      </w:r>
      <w:r w:rsidR="00054912" w:rsidRPr="00054912">
        <w:rPr>
          <w:lang w:val="en-US"/>
        </w:rPr>
        <w:t xml:space="preserve"> </w:t>
      </w:r>
      <w:r w:rsidR="00054912">
        <w:rPr>
          <w:lang w:val="en-US"/>
        </w:rPr>
        <w:t xml:space="preserve">our evangelical ways, even though we continue to call them </w:t>
      </w:r>
      <w:r>
        <w:rPr>
          <w:lang w:val="en-US"/>
        </w:rPr>
        <w:t xml:space="preserve">“evangelical” then we have a case of </w:t>
      </w:r>
      <w:r w:rsidR="00AE6586">
        <w:rPr>
          <w:lang w:val="en-US"/>
        </w:rPr>
        <w:t xml:space="preserve">“colonization.” Secularity establishes itself as the only </w:t>
      </w:r>
      <w:r w:rsidR="00697DBF">
        <w:rPr>
          <w:lang w:val="en-US"/>
        </w:rPr>
        <w:t>“</w:t>
      </w:r>
      <w:r w:rsidR="008C6677" w:rsidRPr="00697DBF">
        <w:rPr>
          <w:lang w:val="en-US"/>
        </w:rPr>
        <w:t>sensible</w:t>
      </w:r>
      <w:r w:rsidR="00697DBF">
        <w:rPr>
          <w:lang w:val="en-US"/>
        </w:rPr>
        <w:t>”</w:t>
      </w:r>
      <w:r w:rsidR="00AE6586">
        <w:rPr>
          <w:lang w:val="en-US"/>
        </w:rPr>
        <w:t xml:space="preserve"> way of thinking and acting and we are conforming to </w:t>
      </w:r>
      <w:r w:rsidR="007147CD">
        <w:rPr>
          <w:lang w:val="en-US"/>
        </w:rPr>
        <w:t>it</w:t>
      </w:r>
      <w:r w:rsidR="00AE6586">
        <w:rPr>
          <w:lang w:val="en-US"/>
        </w:rPr>
        <w:t>.</w:t>
      </w:r>
      <w:r w:rsidR="00CE0282">
        <w:rPr>
          <w:lang w:val="en-US"/>
        </w:rPr>
        <w:t xml:space="preserve"> </w:t>
      </w:r>
      <w:r w:rsidR="006F6F09">
        <w:rPr>
          <w:lang w:val="en-US"/>
        </w:rPr>
        <w:t xml:space="preserve">But some of us </w:t>
      </w:r>
      <w:r w:rsidR="00CE0282">
        <w:rPr>
          <w:lang w:val="en-US"/>
        </w:rPr>
        <w:t>are resisting</w:t>
      </w:r>
      <w:r w:rsidR="006F6F09">
        <w:rPr>
          <w:lang w:val="en-US"/>
        </w:rPr>
        <w:t xml:space="preserve">. </w:t>
      </w:r>
      <w:r w:rsidR="00AE6586">
        <w:rPr>
          <w:lang w:val="en-US"/>
        </w:rPr>
        <w:t xml:space="preserve">“Living on bread </w:t>
      </w:r>
      <w:r w:rsidR="00AE6586" w:rsidRPr="00AE6586">
        <w:rPr>
          <w:i/>
          <w:iCs/>
          <w:lang w:val="en-US"/>
        </w:rPr>
        <w:t>alone</w:t>
      </w:r>
      <w:r w:rsidR="00AE6586">
        <w:rPr>
          <w:lang w:val="en-US"/>
        </w:rPr>
        <w:t xml:space="preserve">” </w:t>
      </w:r>
      <w:r w:rsidR="008C6677">
        <w:rPr>
          <w:lang w:val="en-US"/>
        </w:rPr>
        <w:t xml:space="preserve">cannot characterize us. We refuse to reduce humanity’s needs to just “bread”. Humanity survives on “bread” </w:t>
      </w:r>
      <w:r w:rsidR="008C6677" w:rsidRPr="00697DBF">
        <w:rPr>
          <w:i/>
          <w:iCs/>
          <w:lang w:val="en-US"/>
        </w:rPr>
        <w:t>and</w:t>
      </w:r>
      <w:r w:rsidR="008C6677">
        <w:rPr>
          <w:lang w:val="en-US"/>
        </w:rPr>
        <w:t xml:space="preserve"> “the Word,” or rather, it does not simply survive</w:t>
      </w:r>
      <w:r w:rsidR="00697DBF">
        <w:rPr>
          <w:lang w:val="en-US"/>
        </w:rPr>
        <w:t xml:space="preserve"> – t</w:t>
      </w:r>
      <w:r w:rsidR="008C6677">
        <w:rPr>
          <w:lang w:val="en-US"/>
        </w:rPr>
        <w:t>hat</w:t>
      </w:r>
      <w:r w:rsidR="00697DBF">
        <w:rPr>
          <w:lang w:val="en-US"/>
        </w:rPr>
        <w:t xml:space="preserve"> </w:t>
      </w:r>
      <w:r w:rsidR="008C6677">
        <w:rPr>
          <w:lang w:val="en-US"/>
        </w:rPr>
        <w:t xml:space="preserve">is how it is able to live </w:t>
      </w:r>
      <w:r w:rsidR="008C6677" w:rsidRPr="008C6677">
        <w:rPr>
          <w:i/>
          <w:iCs/>
          <w:lang w:val="en-US"/>
        </w:rPr>
        <w:t>fully</w:t>
      </w:r>
      <w:r w:rsidR="008C6677">
        <w:rPr>
          <w:lang w:val="en-US"/>
        </w:rPr>
        <w:t>!</w:t>
      </w:r>
      <w:r w:rsidR="006F6F09">
        <w:rPr>
          <w:lang w:val="en-US"/>
        </w:rPr>
        <w:t xml:space="preserve"> Peter Berger calls us a “cognitive minority.” He says that </w:t>
      </w:r>
      <w:r w:rsidR="00CE0282">
        <w:rPr>
          <w:lang w:val="en-US"/>
        </w:rPr>
        <w:t>“</w:t>
      </w:r>
      <w:r w:rsidR="006F6F09">
        <w:rPr>
          <w:lang w:val="en-US"/>
        </w:rPr>
        <w:t xml:space="preserve">those to whom the supernatural is still or again, a </w:t>
      </w:r>
      <w:r w:rsidR="006F6F09" w:rsidRPr="006F6F09">
        <w:rPr>
          <w:i/>
          <w:iCs/>
          <w:lang w:val="en-US"/>
        </w:rPr>
        <w:t>meaningful</w:t>
      </w:r>
      <w:r w:rsidR="006F6F09">
        <w:rPr>
          <w:lang w:val="en-US"/>
        </w:rPr>
        <w:t xml:space="preserve"> [and here I stress meaningful and </w:t>
      </w:r>
      <w:r w:rsidR="006F6F09" w:rsidRPr="00CE0282">
        <w:rPr>
          <w:i/>
          <w:iCs/>
          <w:lang w:val="en-US"/>
        </w:rPr>
        <w:t>relevant</w:t>
      </w:r>
      <w:r w:rsidR="006F6F09">
        <w:rPr>
          <w:lang w:val="en-US"/>
        </w:rPr>
        <w:t>] reality</w:t>
      </w:r>
      <w:r w:rsidR="00CE0282">
        <w:rPr>
          <w:lang w:val="en-US"/>
        </w:rPr>
        <w:t>,</w:t>
      </w:r>
      <w:r w:rsidR="006F6F09">
        <w:rPr>
          <w:lang w:val="en-US"/>
        </w:rPr>
        <w:t xml:space="preserve"> find themselves in the status of a minority, more </w:t>
      </w:r>
      <w:r w:rsidR="00CE0282">
        <w:rPr>
          <w:lang w:val="en-US"/>
        </w:rPr>
        <w:t xml:space="preserve">precisely, a cognitive minority </w:t>
      </w:r>
      <w:r w:rsidR="006F6F09">
        <w:rPr>
          <w:lang w:val="en-US"/>
        </w:rPr>
        <w:t xml:space="preserve">. . . a group formed around a body of deviant </w:t>
      </w:r>
      <w:r w:rsidR="00AF5F17">
        <w:rPr>
          <w:lang w:val="en-US"/>
        </w:rPr>
        <w:t>‘knowledge’.”</w:t>
      </w:r>
      <w:r w:rsidR="00AF5F17">
        <w:rPr>
          <w:rStyle w:val="FootnoteReference"/>
          <w:lang w:val="en-US"/>
        </w:rPr>
        <w:footnoteReference w:id="11"/>
      </w:r>
      <w:r w:rsidR="006F6F09">
        <w:rPr>
          <w:lang w:val="en-US"/>
        </w:rPr>
        <w:t xml:space="preserve"> S</w:t>
      </w:r>
      <w:r w:rsidR="008C6677">
        <w:rPr>
          <w:lang w:val="en-US"/>
        </w:rPr>
        <w:t>omething like . . . prophets, perhaps?</w:t>
      </w:r>
      <w:r w:rsidR="006F6F09">
        <w:rPr>
          <w:lang w:val="en-US"/>
        </w:rPr>
        <w:t xml:space="preserve"> </w:t>
      </w:r>
      <w:r w:rsidR="00666DAC">
        <w:rPr>
          <w:lang w:val="en-US"/>
        </w:rPr>
        <w:t xml:space="preserve">Prophets </w:t>
      </w:r>
      <w:r w:rsidR="007434D0">
        <w:rPr>
          <w:lang w:val="en-US"/>
        </w:rPr>
        <w:t>should</w:t>
      </w:r>
      <w:r w:rsidR="00501B9D">
        <w:rPr>
          <w:lang w:val="en-US"/>
        </w:rPr>
        <w:t xml:space="preserve"> thus</w:t>
      </w:r>
      <w:r w:rsidR="007434D0">
        <w:rPr>
          <w:lang w:val="en-US"/>
        </w:rPr>
        <w:t xml:space="preserve"> be</w:t>
      </w:r>
      <w:r w:rsidR="00666DAC">
        <w:rPr>
          <w:lang w:val="en-US"/>
        </w:rPr>
        <w:t xml:space="preserve"> trained to discern </w:t>
      </w:r>
      <w:r w:rsidR="00054912">
        <w:rPr>
          <w:lang w:val="en-US"/>
        </w:rPr>
        <w:t xml:space="preserve">through the “pious talk” </w:t>
      </w:r>
      <w:r w:rsidR="00C47AA8">
        <w:rPr>
          <w:lang w:val="en-US"/>
        </w:rPr>
        <w:t>and</w:t>
      </w:r>
      <w:r w:rsidR="00054912">
        <w:rPr>
          <w:lang w:val="en-US"/>
        </w:rPr>
        <w:t xml:space="preserve"> see </w:t>
      </w:r>
      <w:r w:rsidR="00666DAC">
        <w:rPr>
          <w:lang w:val="en-US"/>
        </w:rPr>
        <w:t xml:space="preserve">whether our narrative has been colonized. Are we living out our evangelical identity or have we unwittingly </w:t>
      </w:r>
      <w:r w:rsidR="00501B9D">
        <w:rPr>
          <w:lang w:val="en-US"/>
        </w:rPr>
        <w:t>surrendered</w:t>
      </w:r>
      <w:r w:rsidR="00666DAC">
        <w:rPr>
          <w:lang w:val="en-US"/>
        </w:rPr>
        <w:t xml:space="preserve"> to </w:t>
      </w:r>
      <w:r w:rsidR="00054912">
        <w:rPr>
          <w:lang w:val="en-US"/>
        </w:rPr>
        <w:t>a fertility cult</w:t>
      </w:r>
      <w:r w:rsidR="00666DAC">
        <w:rPr>
          <w:lang w:val="en-US"/>
        </w:rPr>
        <w:t xml:space="preserve">? </w:t>
      </w:r>
    </w:p>
    <w:p w:rsidR="007827F5" w:rsidRPr="00666DAC" w:rsidRDefault="00BA076C" w:rsidP="00E819E7">
      <w:pPr>
        <w:pStyle w:val="Heading1"/>
        <w:rPr>
          <w:lang w:val="en-US"/>
        </w:rPr>
      </w:pPr>
      <w:r w:rsidRPr="00666DAC">
        <w:rPr>
          <w:lang w:val="en-US"/>
        </w:rPr>
        <w:t xml:space="preserve">3. Appropriating </w:t>
      </w:r>
      <w:r w:rsidR="00927420">
        <w:rPr>
          <w:lang w:val="en-US"/>
        </w:rPr>
        <w:t xml:space="preserve">the </w:t>
      </w:r>
      <w:r w:rsidRPr="00666DAC">
        <w:rPr>
          <w:lang w:val="en-US"/>
        </w:rPr>
        <w:t>Text</w:t>
      </w:r>
    </w:p>
    <w:p w:rsidR="00C508E4" w:rsidRDefault="006164C2" w:rsidP="00512A22">
      <w:pPr>
        <w:contextualSpacing/>
        <w:jc w:val="both"/>
        <w:rPr>
          <w:lang w:val="en-US"/>
        </w:rPr>
      </w:pPr>
      <w:r>
        <w:rPr>
          <w:lang w:val="en-US"/>
        </w:rPr>
        <w:t>I</w:t>
      </w:r>
      <w:r w:rsidR="00666DAC">
        <w:rPr>
          <w:lang w:val="en-US"/>
        </w:rPr>
        <w:t>t is extremely difficult to define evangelical identity. One of the most “effective”</w:t>
      </w:r>
      <w:r w:rsidR="00666DAC">
        <w:rPr>
          <w:rStyle w:val="FootnoteReference"/>
          <w:lang w:val="en-US"/>
        </w:rPr>
        <w:footnoteReference w:id="12"/>
      </w:r>
      <w:r w:rsidR="00666DAC">
        <w:rPr>
          <w:lang w:val="en-US"/>
        </w:rPr>
        <w:t xml:space="preserve"> definitions that has enjoyed general acceptance</w:t>
      </w:r>
      <w:r w:rsidR="00666DAC">
        <w:rPr>
          <w:rStyle w:val="FootnoteReference"/>
          <w:lang w:val="en-US"/>
        </w:rPr>
        <w:footnoteReference w:id="13"/>
      </w:r>
      <w:r w:rsidR="00666DAC">
        <w:rPr>
          <w:lang w:val="en-US"/>
        </w:rPr>
        <w:t xml:space="preserve"> was offered by David </w:t>
      </w:r>
      <w:proofErr w:type="spellStart"/>
      <w:r w:rsidR="00666DAC" w:rsidRPr="00C508E4">
        <w:rPr>
          <w:lang w:val="en-US"/>
        </w:rPr>
        <w:t>Bebbington</w:t>
      </w:r>
      <w:proofErr w:type="spellEnd"/>
      <w:r w:rsidR="00666DAC">
        <w:rPr>
          <w:rStyle w:val="FootnoteReference"/>
          <w:lang w:val="en-US"/>
        </w:rPr>
        <w:footnoteReference w:id="14"/>
      </w:r>
      <w:r w:rsidR="00666DAC">
        <w:rPr>
          <w:lang w:val="en-US"/>
        </w:rPr>
        <w:t xml:space="preserve"> </w:t>
      </w:r>
      <w:r>
        <w:rPr>
          <w:lang w:val="en-US"/>
        </w:rPr>
        <w:t>and more</w:t>
      </w:r>
      <w:r w:rsidR="00666DAC">
        <w:rPr>
          <w:lang w:val="en-US"/>
        </w:rPr>
        <w:t xml:space="preserve"> recently, Timothy Larsen.</w:t>
      </w:r>
      <w:r w:rsidR="00666DAC">
        <w:rPr>
          <w:rStyle w:val="FootnoteReference"/>
          <w:lang w:val="en-US"/>
        </w:rPr>
        <w:footnoteReference w:id="15"/>
      </w:r>
      <w:r w:rsidR="00666DAC">
        <w:rPr>
          <w:lang w:val="en-US"/>
        </w:rPr>
        <w:t xml:space="preserve"> </w:t>
      </w:r>
      <w:r w:rsidR="00512A22">
        <w:rPr>
          <w:lang w:val="en-US"/>
        </w:rPr>
        <w:t xml:space="preserve">Prior to these, </w:t>
      </w:r>
      <w:r w:rsidR="00666DAC">
        <w:rPr>
          <w:lang w:val="en-US"/>
        </w:rPr>
        <w:t>J. I. Packer</w:t>
      </w:r>
      <w:r w:rsidR="00263179">
        <w:rPr>
          <w:lang w:val="en-US"/>
        </w:rPr>
        <w:t xml:space="preserve"> had</w:t>
      </w:r>
      <w:r w:rsidR="00666DAC">
        <w:rPr>
          <w:lang w:val="en-US"/>
        </w:rPr>
        <w:t xml:space="preserve"> identified six evangelical fundamentals</w:t>
      </w:r>
      <w:r w:rsidR="00512A22">
        <w:rPr>
          <w:lang w:val="en-US"/>
        </w:rPr>
        <w:t>.</w:t>
      </w:r>
      <w:r w:rsidR="00512A22">
        <w:rPr>
          <w:rStyle w:val="FootnoteReference"/>
          <w:lang w:val="en-US"/>
        </w:rPr>
        <w:footnoteReference w:id="16"/>
      </w:r>
      <w:r w:rsidR="00666DAC">
        <w:rPr>
          <w:lang w:val="en-US"/>
        </w:rPr>
        <w:t xml:space="preserve"> </w:t>
      </w:r>
    </w:p>
    <w:p w:rsidR="00666DAC" w:rsidRDefault="00263179" w:rsidP="00846865">
      <w:pPr>
        <w:ind w:firstLine="720"/>
        <w:contextualSpacing/>
        <w:jc w:val="both"/>
        <w:rPr>
          <w:lang w:val="en-US"/>
        </w:rPr>
      </w:pPr>
      <w:r>
        <w:rPr>
          <w:lang w:val="en-US"/>
        </w:rPr>
        <w:lastRenderedPageBreak/>
        <w:t>However, the more elements used to define evangelicalism the more uneasy</w:t>
      </w:r>
      <w:r w:rsidR="009F28DC">
        <w:rPr>
          <w:lang w:val="en-US"/>
        </w:rPr>
        <w:t xml:space="preserve"> our modern-day prophet,</w:t>
      </w:r>
      <w:r>
        <w:rPr>
          <w:lang w:val="en-US"/>
        </w:rPr>
        <w:t xml:space="preserve"> </w:t>
      </w:r>
      <w:r w:rsidR="00666DAC">
        <w:rPr>
          <w:lang w:val="en-US"/>
        </w:rPr>
        <w:t>John Stott</w:t>
      </w:r>
      <w:r w:rsidR="009F28DC">
        <w:rPr>
          <w:lang w:val="en-US"/>
        </w:rPr>
        <w:t>,</w:t>
      </w:r>
      <w:r w:rsidR="00E90788">
        <w:rPr>
          <w:lang w:val="en-US"/>
        </w:rPr>
        <w:t xml:space="preserve"> felt with these definitions</w:t>
      </w:r>
      <w:r w:rsidR="00666DAC">
        <w:rPr>
          <w:lang w:val="en-US"/>
        </w:rPr>
        <w:t xml:space="preserve">. </w:t>
      </w:r>
      <w:r w:rsidR="00E90788">
        <w:rPr>
          <w:lang w:val="en-US"/>
        </w:rPr>
        <w:t>He argued that we should avoid adding anything “</w:t>
      </w:r>
      <w:r w:rsidR="00666DAC">
        <w:rPr>
          <w:lang w:val="en-US"/>
        </w:rPr>
        <w:t>alongside such towering truths as the authority of Scripture, the majesty of Jesus Christ and the lordship of the Holy Spirit.”</w:t>
      </w:r>
      <w:r w:rsidR="00666DAC">
        <w:rPr>
          <w:rStyle w:val="FootnoteReference"/>
          <w:lang w:val="en-US"/>
        </w:rPr>
        <w:footnoteReference w:id="17"/>
      </w:r>
      <w:r w:rsidR="00666DAC">
        <w:rPr>
          <w:lang w:val="en-US"/>
        </w:rPr>
        <w:t xml:space="preserve"> As the subtitle of his book </w:t>
      </w:r>
      <w:r w:rsidR="0022249A" w:rsidRPr="0022249A">
        <w:rPr>
          <w:i/>
          <w:iCs/>
          <w:lang w:val="en-US"/>
        </w:rPr>
        <w:t>Evangelical</w:t>
      </w:r>
      <w:r w:rsidR="0022249A">
        <w:rPr>
          <w:lang w:val="en-US"/>
        </w:rPr>
        <w:t xml:space="preserve"> </w:t>
      </w:r>
      <w:r w:rsidR="0022249A" w:rsidRPr="0022249A">
        <w:rPr>
          <w:i/>
          <w:iCs/>
          <w:lang w:val="en-US"/>
        </w:rPr>
        <w:t>Truth</w:t>
      </w:r>
      <w:r w:rsidR="0022249A">
        <w:rPr>
          <w:lang w:val="en-US"/>
        </w:rPr>
        <w:t xml:space="preserve"> </w:t>
      </w:r>
      <w:r w:rsidR="00666DAC">
        <w:rPr>
          <w:lang w:val="en-US"/>
        </w:rPr>
        <w:t>shows, “a personal plea for unity</w:t>
      </w:r>
      <w:r w:rsidR="00846865">
        <w:rPr>
          <w:lang w:val="en-US"/>
        </w:rPr>
        <w:t>,</w:t>
      </w:r>
      <w:r w:rsidR="00666DAC">
        <w:rPr>
          <w:lang w:val="en-US"/>
        </w:rPr>
        <w:t>” Stott was very keen on promoting unity by distinguishing between what belongs to the center and what belongs to the circumference, thus allowing as much room for variety in the elaboration of evangelical faith. Indeed Stott was one of the few evangelical thinkers who experienced evangelical faith as it is expressed globally, in a variety of forms and contexts, something which no doubt made him reluctant to homogenize evangelical thought and expression.</w:t>
      </w:r>
    </w:p>
    <w:p w:rsidR="00D57179" w:rsidRDefault="00C508E4" w:rsidP="00846865">
      <w:pPr>
        <w:ind w:firstLine="720"/>
        <w:contextualSpacing/>
        <w:jc w:val="both"/>
        <w:rPr>
          <w:lang w:val="en-US"/>
        </w:rPr>
      </w:pPr>
      <w:r>
        <w:rPr>
          <w:lang w:val="en-US"/>
        </w:rPr>
        <w:t xml:space="preserve">I will focus on </w:t>
      </w:r>
      <w:r w:rsidR="001F006D">
        <w:rPr>
          <w:lang w:val="en-US"/>
        </w:rPr>
        <w:t xml:space="preserve">the authority of Scripture, the </w:t>
      </w:r>
      <w:r w:rsidR="00E1472E">
        <w:rPr>
          <w:lang w:val="en-US"/>
        </w:rPr>
        <w:t xml:space="preserve">first element mentioned by Stott, </w:t>
      </w:r>
      <w:r w:rsidR="009F28DC">
        <w:rPr>
          <w:lang w:val="en-US"/>
        </w:rPr>
        <w:t>due to</w:t>
      </w:r>
      <w:r>
        <w:rPr>
          <w:lang w:val="en-US"/>
        </w:rPr>
        <w:t xml:space="preserve"> its recognized centrality for evangelical</w:t>
      </w:r>
      <w:r w:rsidR="00BC4DE2">
        <w:rPr>
          <w:lang w:val="en-US"/>
        </w:rPr>
        <w:t>s</w:t>
      </w:r>
      <w:r w:rsidR="008F164C">
        <w:rPr>
          <w:lang w:val="en-US"/>
        </w:rPr>
        <w:t xml:space="preserve"> and</w:t>
      </w:r>
      <w:r>
        <w:rPr>
          <w:lang w:val="en-US"/>
        </w:rPr>
        <w:t xml:space="preserve"> theological education in particular. </w:t>
      </w:r>
      <w:r w:rsidR="001F006D">
        <w:rPr>
          <w:lang w:val="en-US"/>
        </w:rPr>
        <w:t>T</w:t>
      </w:r>
      <w:r w:rsidR="00B5122A">
        <w:rPr>
          <w:lang w:val="en-US"/>
        </w:rPr>
        <w:t xml:space="preserve">he sacred text is our common </w:t>
      </w:r>
      <w:r w:rsidR="00C27392">
        <w:rPr>
          <w:lang w:val="en-US"/>
        </w:rPr>
        <w:t xml:space="preserve">world </w:t>
      </w:r>
      <w:r w:rsidR="00B5122A">
        <w:rPr>
          <w:lang w:val="en-US"/>
        </w:rPr>
        <w:t>heritage</w:t>
      </w:r>
      <w:r w:rsidR="00C27392">
        <w:rPr>
          <w:lang w:val="en-US"/>
        </w:rPr>
        <w:t xml:space="preserve">, preserved </w:t>
      </w:r>
      <w:r w:rsidR="00263E0C">
        <w:rPr>
          <w:lang w:val="en-US"/>
        </w:rPr>
        <w:t xml:space="preserve">and handed over to us by </w:t>
      </w:r>
      <w:r w:rsidR="00C27392">
        <w:rPr>
          <w:lang w:val="en-US"/>
        </w:rPr>
        <w:t xml:space="preserve">both </w:t>
      </w:r>
      <w:r w:rsidR="00263E0C">
        <w:rPr>
          <w:lang w:val="en-US"/>
        </w:rPr>
        <w:t xml:space="preserve">persecuted </w:t>
      </w:r>
      <w:r w:rsidR="00C27392">
        <w:rPr>
          <w:lang w:val="en-US"/>
        </w:rPr>
        <w:t xml:space="preserve">poor and elite </w:t>
      </w:r>
      <w:r w:rsidR="00927420">
        <w:rPr>
          <w:lang w:val="en-US"/>
        </w:rPr>
        <w:t>benefactors and collectors</w:t>
      </w:r>
      <w:r w:rsidR="00C27392">
        <w:rPr>
          <w:lang w:val="en-US"/>
        </w:rPr>
        <w:t xml:space="preserve">. </w:t>
      </w:r>
      <w:r w:rsidR="001F006D">
        <w:rPr>
          <w:lang w:val="en-US"/>
        </w:rPr>
        <w:t xml:space="preserve">The fact that different types of books from different authors, different ages and contexts are brought together to form a canon shows that </w:t>
      </w:r>
      <w:r w:rsidR="001F006D" w:rsidRPr="007147CD">
        <w:rPr>
          <w:i/>
          <w:iCs/>
          <w:lang w:val="en-US"/>
        </w:rPr>
        <w:t>many</w:t>
      </w:r>
      <w:r w:rsidR="001F006D">
        <w:rPr>
          <w:lang w:val="en-US"/>
        </w:rPr>
        <w:t xml:space="preserve"> voices can simultaneously speak as </w:t>
      </w:r>
      <w:r w:rsidR="001F006D" w:rsidRPr="007147CD">
        <w:rPr>
          <w:i/>
          <w:iCs/>
          <w:lang w:val="en-US"/>
        </w:rPr>
        <w:t>one</w:t>
      </w:r>
      <w:r w:rsidR="001F006D">
        <w:rPr>
          <w:lang w:val="en-US"/>
        </w:rPr>
        <w:t xml:space="preserve"> voice. The historical and the particular can at the same time be </w:t>
      </w:r>
      <w:r w:rsidR="00AD1734">
        <w:rPr>
          <w:lang w:val="en-US"/>
        </w:rPr>
        <w:t>trans-historical</w:t>
      </w:r>
      <w:r w:rsidR="001F006D">
        <w:rPr>
          <w:lang w:val="en-US"/>
        </w:rPr>
        <w:t xml:space="preserve"> and universal. No one book can </w:t>
      </w:r>
      <w:r w:rsidR="00824CA8">
        <w:rPr>
          <w:lang w:val="en-US"/>
        </w:rPr>
        <w:t xml:space="preserve">exhaust </w:t>
      </w:r>
      <w:r w:rsidR="001F006D">
        <w:rPr>
          <w:lang w:val="en-US"/>
        </w:rPr>
        <w:t xml:space="preserve">truth </w:t>
      </w:r>
      <w:r w:rsidR="00824CA8">
        <w:rPr>
          <w:lang w:val="en-US"/>
        </w:rPr>
        <w:t xml:space="preserve">but it is only when all voices come together, bound to each other that we can see the fullness of revelation. I think the same is true of the reader. Isolated reading communities </w:t>
      </w:r>
      <w:r w:rsidR="00846865">
        <w:rPr>
          <w:lang w:val="en-US"/>
        </w:rPr>
        <w:t xml:space="preserve">need to enrich their </w:t>
      </w:r>
      <w:r w:rsidR="00824CA8">
        <w:rPr>
          <w:lang w:val="en-US"/>
        </w:rPr>
        <w:t>understanding of God</w:t>
      </w:r>
      <w:r w:rsidR="00846865">
        <w:rPr>
          <w:lang w:val="en-US"/>
        </w:rPr>
        <w:t xml:space="preserve"> from other communities or traditions or they may be</w:t>
      </w:r>
      <w:r w:rsidR="00824CA8">
        <w:rPr>
          <w:lang w:val="en-US"/>
        </w:rPr>
        <w:t xml:space="preserve"> in danger of </w:t>
      </w:r>
      <w:r w:rsidR="00D57179">
        <w:rPr>
          <w:lang w:val="en-US"/>
        </w:rPr>
        <w:t xml:space="preserve">shielding themselves against any </w:t>
      </w:r>
      <w:r w:rsidR="00846865">
        <w:rPr>
          <w:lang w:val="en-US"/>
        </w:rPr>
        <w:t>possibility</w:t>
      </w:r>
      <w:r w:rsidR="00D57179">
        <w:rPr>
          <w:lang w:val="en-US"/>
        </w:rPr>
        <w:t xml:space="preserve"> of reform.</w:t>
      </w:r>
      <w:r w:rsidR="0022249A">
        <w:rPr>
          <w:lang w:val="en-US"/>
        </w:rPr>
        <w:t xml:space="preserve"> An isolated church may be a tiny church in an African village or a </w:t>
      </w:r>
      <w:proofErr w:type="spellStart"/>
      <w:r w:rsidR="0022249A">
        <w:rPr>
          <w:lang w:val="en-US"/>
        </w:rPr>
        <w:t>Megachurch</w:t>
      </w:r>
      <w:proofErr w:type="spellEnd"/>
      <w:r w:rsidR="0022249A">
        <w:rPr>
          <w:lang w:val="en-US"/>
        </w:rPr>
        <w:t xml:space="preserve"> in the most powerful nation on earth.</w:t>
      </w:r>
      <w:r w:rsidR="00D57179">
        <w:rPr>
          <w:lang w:val="en-US"/>
        </w:rPr>
        <w:t xml:space="preserve"> One should hear what the Spirit says to </w:t>
      </w:r>
      <w:r w:rsidR="00D57179" w:rsidRPr="00846865">
        <w:rPr>
          <w:i/>
          <w:iCs/>
          <w:lang w:val="en-US"/>
        </w:rPr>
        <w:t>all</w:t>
      </w:r>
      <w:r w:rsidR="00D57179">
        <w:rPr>
          <w:lang w:val="en-US"/>
        </w:rPr>
        <w:t xml:space="preserve"> the churches, as we are in fact reading what the Spirit said to Corinth and Ephesus and Philippi. </w:t>
      </w:r>
    </w:p>
    <w:p w:rsidR="00927420" w:rsidRDefault="00D57179" w:rsidP="00EE3A48">
      <w:pPr>
        <w:ind w:firstLine="720"/>
        <w:contextualSpacing/>
        <w:jc w:val="both"/>
        <w:rPr>
          <w:lang w:val="en-US"/>
        </w:rPr>
      </w:pPr>
      <w:r>
        <w:rPr>
          <w:lang w:val="en-US"/>
        </w:rPr>
        <w:t>Because the t</w:t>
      </w:r>
      <w:r w:rsidR="00AD1734">
        <w:rPr>
          <w:lang w:val="en-US"/>
        </w:rPr>
        <w:t>ext</w:t>
      </w:r>
      <w:r>
        <w:rPr>
          <w:lang w:val="en-US"/>
        </w:rPr>
        <w:t xml:space="preserve">s, by becoming a </w:t>
      </w:r>
      <w:r w:rsidRPr="00846865">
        <w:rPr>
          <w:i/>
          <w:iCs/>
          <w:lang w:val="en-US"/>
        </w:rPr>
        <w:t>canon</w:t>
      </w:r>
      <w:r>
        <w:rPr>
          <w:lang w:val="en-US"/>
        </w:rPr>
        <w:t xml:space="preserve">, </w:t>
      </w:r>
      <w:r w:rsidR="00994466">
        <w:rPr>
          <w:lang w:val="en-US"/>
        </w:rPr>
        <w:t xml:space="preserve">have been elevated from the </w:t>
      </w:r>
      <w:r>
        <w:rPr>
          <w:lang w:val="en-US"/>
        </w:rPr>
        <w:t>historical to the trans-historical</w:t>
      </w:r>
      <w:r w:rsidR="00994466">
        <w:rPr>
          <w:lang w:val="en-US"/>
        </w:rPr>
        <w:t>,</w:t>
      </w:r>
      <w:r w:rsidR="00AD1734">
        <w:rPr>
          <w:lang w:val="en-US"/>
        </w:rPr>
        <w:t xml:space="preserve"> t</w:t>
      </w:r>
      <w:r w:rsidR="007E2925">
        <w:rPr>
          <w:lang w:val="en-US"/>
        </w:rPr>
        <w:t>he prophet</w:t>
      </w:r>
      <w:r>
        <w:rPr>
          <w:lang w:val="en-US"/>
        </w:rPr>
        <w:t>’s task</w:t>
      </w:r>
      <w:r w:rsidR="00994466">
        <w:rPr>
          <w:lang w:val="en-US"/>
        </w:rPr>
        <w:t xml:space="preserve"> is </w:t>
      </w:r>
      <w:r w:rsidR="00994466" w:rsidRPr="00846865">
        <w:rPr>
          <w:i/>
          <w:iCs/>
          <w:lang w:val="en-US"/>
        </w:rPr>
        <w:t>not</w:t>
      </w:r>
      <w:r w:rsidR="00994466">
        <w:rPr>
          <w:lang w:val="en-US"/>
        </w:rPr>
        <w:t xml:space="preserve"> to be solely a historian</w:t>
      </w:r>
      <w:r w:rsidR="006A5AD8">
        <w:rPr>
          <w:lang w:val="en-US"/>
        </w:rPr>
        <w:t xml:space="preserve"> (</w:t>
      </w:r>
      <w:r w:rsidR="00EE3A48">
        <w:rPr>
          <w:lang w:val="en-US"/>
        </w:rPr>
        <w:t xml:space="preserve">which is usually </w:t>
      </w:r>
      <w:r w:rsidR="006A5AD8">
        <w:rPr>
          <w:lang w:val="en-US"/>
        </w:rPr>
        <w:t>the secular focus)</w:t>
      </w:r>
      <w:r w:rsidR="00994466">
        <w:rPr>
          <w:lang w:val="en-US"/>
        </w:rPr>
        <w:t xml:space="preserve">. </w:t>
      </w:r>
      <w:r w:rsidR="00C3102F">
        <w:rPr>
          <w:lang w:val="en-US"/>
        </w:rPr>
        <w:t>The prophet</w:t>
      </w:r>
      <w:r>
        <w:rPr>
          <w:lang w:val="en-US"/>
        </w:rPr>
        <w:t xml:space="preserve"> is to</w:t>
      </w:r>
      <w:r w:rsidR="00AD1734">
        <w:rPr>
          <w:lang w:val="en-US"/>
        </w:rPr>
        <w:t xml:space="preserve"> uphold th</w:t>
      </w:r>
      <w:r w:rsidR="008F164C">
        <w:rPr>
          <w:lang w:val="en-US"/>
        </w:rPr>
        <w:t>is dual</w:t>
      </w:r>
      <w:r>
        <w:rPr>
          <w:lang w:val="en-US"/>
        </w:rPr>
        <w:t xml:space="preserve"> nature</w:t>
      </w:r>
      <w:r w:rsidR="00994466">
        <w:rPr>
          <w:lang w:val="en-US"/>
        </w:rPr>
        <w:t xml:space="preserve"> of the scriptures</w:t>
      </w:r>
      <w:r w:rsidR="00AD1734">
        <w:rPr>
          <w:lang w:val="en-US"/>
        </w:rPr>
        <w:t xml:space="preserve"> by repeatedly </w:t>
      </w:r>
      <w:r w:rsidR="00AD1734" w:rsidRPr="00846865">
        <w:rPr>
          <w:i/>
          <w:iCs/>
          <w:lang w:val="en-US"/>
        </w:rPr>
        <w:t>rescuing</w:t>
      </w:r>
      <w:r w:rsidR="00AD1734">
        <w:rPr>
          <w:lang w:val="en-US"/>
        </w:rPr>
        <w:t xml:space="preserve"> </w:t>
      </w:r>
      <w:r w:rsidR="00D81518">
        <w:rPr>
          <w:lang w:val="en-US"/>
        </w:rPr>
        <w:t>the text</w:t>
      </w:r>
      <w:r w:rsidR="00AD1734">
        <w:rPr>
          <w:lang w:val="en-US"/>
        </w:rPr>
        <w:t xml:space="preserve"> from</w:t>
      </w:r>
      <w:r w:rsidR="00927420">
        <w:rPr>
          <w:lang w:val="en-US"/>
        </w:rPr>
        <w:t xml:space="preserve"> the irrelevancy of being a historical relic</w:t>
      </w:r>
      <w:r w:rsidR="007E2925">
        <w:rPr>
          <w:lang w:val="en-US"/>
        </w:rPr>
        <w:t>.</w:t>
      </w:r>
      <w:r w:rsidR="00C27392">
        <w:rPr>
          <w:lang w:val="en-US"/>
        </w:rPr>
        <w:t xml:space="preserve"> </w:t>
      </w:r>
      <w:r w:rsidR="008F164C">
        <w:rPr>
          <w:lang w:val="en-US"/>
        </w:rPr>
        <w:t>It</w:t>
      </w:r>
      <w:r w:rsidR="007E2925">
        <w:rPr>
          <w:lang w:val="en-US"/>
        </w:rPr>
        <w:t xml:space="preserve"> </w:t>
      </w:r>
      <w:r w:rsidR="00994466">
        <w:rPr>
          <w:lang w:val="en-US"/>
        </w:rPr>
        <w:t>is</w:t>
      </w:r>
      <w:r w:rsidR="007E2925">
        <w:rPr>
          <w:lang w:val="en-US"/>
        </w:rPr>
        <w:t xml:space="preserve"> read</w:t>
      </w:r>
      <w:r w:rsidR="00C27392">
        <w:rPr>
          <w:lang w:val="en-US"/>
        </w:rPr>
        <w:t xml:space="preserve"> and reread</w:t>
      </w:r>
      <w:r w:rsidR="007E2925">
        <w:rPr>
          <w:lang w:val="en-US"/>
        </w:rPr>
        <w:t xml:space="preserve"> </w:t>
      </w:r>
      <w:r w:rsidR="00C27392">
        <w:rPr>
          <w:lang w:val="en-US"/>
        </w:rPr>
        <w:t xml:space="preserve">through the ages, by different communities in different contexts and is constantly </w:t>
      </w:r>
      <w:r w:rsidR="00C27392">
        <w:rPr>
          <w:lang w:val="en-US"/>
        </w:rPr>
        <w:lastRenderedPageBreak/>
        <w:t>appropriat</w:t>
      </w:r>
      <w:r w:rsidR="00994466">
        <w:rPr>
          <w:lang w:val="en-US"/>
        </w:rPr>
        <w:t>ed</w:t>
      </w:r>
      <w:r w:rsidR="00C27392">
        <w:rPr>
          <w:lang w:val="en-US"/>
        </w:rPr>
        <w:t xml:space="preserve"> in a dynamic way into </w:t>
      </w:r>
      <w:r w:rsidR="001E3153">
        <w:rPr>
          <w:lang w:val="en-US"/>
        </w:rPr>
        <w:t>their lives</w:t>
      </w:r>
      <w:r w:rsidR="00C27392">
        <w:rPr>
          <w:lang w:val="en-US"/>
        </w:rPr>
        <w:t xml:space="preserve">. We </w:t>
      </w:r>
      <w:r w:rsidR="00D93506">
        <w:rPr>
          <w:lang w:val="en-US"/>
        </w:rPr>
        <w:t xml:space="preserve">have not </w:t>
      </w:r>
      <w:r w:rsidR="00C27392">
        <w:rPr>
          <w:lang w:val="en-US"/>
        </w:rPr>
        <w:t>receive</w:t>
      </w:r>
      <w:r w:rsidR="00D93506">
        <w:rPr>
          <w:lang w:val="en-US"/>
        </w:rPr>
        <w:t>d</w:t>
      </w:r>
      <w:r w:rsidR="00C27392">
        <w:rPr>
          <w:lang w:val="en-US"/>
        </w:rPr>
        <w:t xml:space="preserve"> a </w:t>
      </w:r>
      <w:r w:rsidR="00D506DB">
        <w:rPr>
          <w:lang w:val="en-US"/>
        </w:rPr>
        <w:t>one-size-fits-all</w:t>
      </w:r>
      <w:r w:rsidR="00C27392">
        <w:rPr>
          <w:lang w:val="en-US"/>
        </w:rPr>
        <w:t xml:space="preserve"> </w:t>
      </w:r>
      <w:r w:rsidR="00C27392" w:rsidRPr="00C3102F">
        <w:rPr>
          <w:i/>
          <w:iCs/>
          <w:lang w:val="en-US"/>
        </w:rPr>
        <w:t>interpretation</w:t>
      </w:r>
      <w:r w:rsidR="00C27392">
        <w:rPr>
          <w:lang w:val="en-US"/>
        </w:rPr>
        <w:t xml:space="preserve"> of the text that can dispense of the text once </w:t>
      </w:r>
      <w:r w:rsidR="00D93506">
        <w:rPr>
          <w:lang w:val="en-US"/>
        </w:rPr>
        <w:t>this</w:t>
      </w:r>
      <w:r w:rsidR="00C27392">
        <w:rPr>
          <w:lang w:val="en-US"/>
        </w:rPr>
        <w:t xml:space="preserve"> interpretation is </w:t>
      </w:r>
      <w:r w:rsidR="00D506DB">
        <w:rPr>
          <w:lang w:val="en-US"/>
        </w:rPr>
        <w:t>adopted</w:t>
      </w:r>
      <w:r w:rsidR="00C27392">
        <w:rPr>
          <w:lang w:val="en-US"/>
        </w:rPr>
        <w:t xml:space="preserve">, but it is the re-readable, re-interpretable </w:t>
      </w:r>
      <w:r w:rsidR="00C27392" w:rsidRPr="00C3102F">
        <w:rPr>
          <w:i/>
          <w:iCs/>
          <w:lang w:val="en-US"/>
        </w:rPr>
        <w:t>text</w:t>
      </w:r>
      <w:r w:rsidR="00C27392">
        <w:rPr>
          <w:lang w:val="en-US"/>
        </w:rPr>
        <w:t xml:space="preserve"> that is able to be in a dynamic relationship with its readers.</w:t>
      </w:r>
      <w:r w:rsidR="004745F9">
        <w:rPr>
          <w:lang w:val="en-US"/>
        </w:rPr>
        <w:t xml:space="preserve"> </w:t>
      </w:r>
    </w:p>
    <w:p w:rsidR="009413CC" w:rsidRPr="008F164C" w:rsidRDefault="004745F9" w:rsidP="00D506DB">
      <w:pPr>
        <w:ind w:firstLine="720"/>
        <w:contextualSpacing/>
        <w:jc w:val="both"/>
        <w:rPr>
          <w:lang w:val="en-US"/>
        </w:rPr>
      </w:pPr>
      <w:r>
        <w:rPr>
          <w:lang w:val="en-US"/>
        </w:rPr>
        <w:t xml:space="preserve">For this reason, prophets in </w:t>
      </w:r>
      <w:r w:rsidRPr="006A5AD8">
        <w:rPr>
          <w:i/>
          <w:iCs/>
          <w:lang w:val="en-US"/>
        </w:rPr>
        <w:t>every</w:t>
      </w:r>
      <w:r>
        <w:rPr>
          <w:lang w:val="en-US"/>
        </w:rPr>
        <w:t xml:space="preserve"> context </w:t>
      </w:r>
      <w:r w:rsidR="00D6186F">
        <w:rPr>
          <w:lang w:val="en-US"/>
        </w:rPr>
        <w:t>must be</w:t>
      </w:r>
      <w:r>
        <w:rPr>
          <w:lang w:val="en-US"/>
        </w:rPr>
        <w:t xml:space="preserve"> trained in the biblical languages because this is the</w:t>
      </w:r>
      <w:r w:rsidR="0053261C" w:rsidRPr="0053261C">
        <w:rPr>
          <w:lang w:val="en-US"/>
        </w:rPr>
        <w:t xml:space="preserve"> </w:t>
      </w:r>
      <w:r w:rsidR="0053261C" w:rsidRPr="00B34AC2">
        <w:rPr>
          <w:lang w:val="en-US"/>
        </w:rPr>
        <w:t>primary</w:t>
      </w:r>
      <w:r>
        <w:rPr>
          <w:lang w:val="en-US"/>
        </w:rPr>
        <w:t xml:space="preserve"> means through which the text is able to be revisited for fresh understandings and to be </w:t>
      </w:r>
      <w:r w:rsidRPr="004745F9">
        <w:rPr>
          <w:i/>
          <w:iCs/>
          <w:lang w:val="en-US"/>
        </w:rPr>
        <w:t>owned</w:t>
      </w:r>
      <w:r>
        <w:rPr>
          <w:lang w:val="en-US"/>
        </w:rPr>
        <w:t xml:space="preserve"> by every context. Contextual interpretation is first and foremost contextual </w:t>
      </w:r>
      <w:r w:rsidRPr="009413CC">
        <w:rPr>
          <w:i/>
          <w:iCs/>
          <w:lang w:val="en-US"/>
        </w:rPr>
        <w:t>translation</w:t>
      </w:r>
      <w:r w:rsidR="007434D0">
        <w:rPr>
          <w:lang w:val="en-US"/>
        </w:rPr>
        <w:t xml:space="preserve">. My own research in the Septuagint has confirmed how theologically </w:t>
      </w:r>
      <w:r w:rsidR="00D506DB" w:rsidRPr="00846865">
        <w:rPr>
          <w:i/>
          <w:iCs/>
          <w:lang w:val="en-US"/>
        </w:rPr>
        <w:t>influenced</w:t>
      </w:r>
      <w:r w:rsidR="007434D0">
        <w:rPr>
          <w:lang w:val="en-US"/>
        </w:rPr>
        <w:t xml:space="preserve"> translations usually are. A</w:t>
      </w:r>
      <w:r>
        <w:rPr>
          <w:lang w:val="en-US"/>
        </w:rPr>
        <w:t xml:space="preserve">bandoning the biblical languages in theological education </w:t>
      </w:r>
      <w:r w:rsidR="007E2925">
        <w:rPr>
          <w:lang w:val="en-US"/>
        </w:rPr>
        <w:t>would amount to</w:t>
      </w:r>
      <w:r>
        <w:rPr>
          <w:lang w:val="en-US"/>
        </w:rPr>
        <w:t xml:space="preserve"> surrendering the interpretation of our sacred texts </w:t>
      </w:r>
      <w:r w:rsidR="009413CC">
        <w:rPr>
          <w:lang w:val="en-US"/>
        </w:rPr>
        <w:t xml:space="preserve">to </w:t>
      </w:r>
      <w:r w:rsidR="007E2925">
        <w:rPr>
          <w:lang w:val="en-US"/>
        </w:rPr>
        <w:t>foreign</w:t>
      </w:r>
      <w:r w:rsidR="009413CC">
        <w:rPr>
          <w:lang w:val="en-US"/>
        </w:rPr>
        <w:t xml:space="preserve"> </w:t>
      </w:r>
      <w:r w:rsidR="007434D0">
        <w:rPr>
          <w:lang w:val="en-US"/>
        </w:rPr>
        <w:t>interpreters</w:t>
      </w:r>
      <w:r w:rsidR="009413CC">
        <w:rPr>
          <w:lang w:val="en-US"/>
        </w:rPr>
        <w:t>.</w:t>
      </w:r>
      <w:r w:rsidR="008F164C" w:rsidRPr="008F164C">
        <w:rPr>
          <w:lang w:val="en-US"/>
        </w:rPr>
        <w:t xml:space="preserve"> </w:t>
      </w:r>
      <w:r w:rsidR="008F164C">
        <w:rPr>
          <w:lang w:val="en-US"/>
        </w:rPr>
        <w:t xml:space="preserve">The last decades have convinced us of the indispensable role of the reader, so much so that he/she cannot </w:t>
      </w:r>
      <w:r w:rsidR="00D93506">
        <w:rPr>
          <w:lang w:val="en-US"/>
        </w:rPr>
        <w:t xml:space="preserve">be </w:t>
      </w:r>
      <w:r w:rsidR="008F164C">
        <w:rPr>
          <w:lang w:val="en-US"/>
        </w:rPr>
        <w:t>substituted by another.</w:t>
      </w:r>
      <w:r w:rsidR="0053261C">
        <w:rPr>
          <w:rStyle w:val="FootnoteReference"/>
          <w:lang w:val="en-US"/>
        </w:rPr>
        <w:footnoteReference w:id="18"/>
      </w:r>
    </w:p>
    <w:p w:rsidR="001833DE" w:rsidRDefault="009413CC" w:rsidP="00EE3A48">
      <w:pPr>
        <w:ind w:firstLine="720"/>
        <w:contextualSpacing/>
        <w:jc w:val="both"/>
        <w:rPr>
          <w:lang w:val="en-US"/>
        </w:rPr>
      </w:pPr>
      <w:r w:rsidRPr="00FD4FBB">
        <w:rPr>
          <w:lang w:val="en-US"/>
        </w:rPr>
        <w:t xml:space="preserve">But let us not fall back to the “comfort talk”. Scripture can very easily be brought in to serve our “fertility cults”, it can be used to promote apartheid, </w:t>
      </w:r>
      <w:proofErr w:type="gramStart"/>
      <w:r w:rsidRPr="00FD4FBB">
        <w:rPr>
          <w:lang w:val="en-US"/>
        </w:rPr>
        <w:t>it</w:t>
      </w:r>
      <w:proofErr w:type="gramEnd"/>
      <w:r w:rsidRPr="00FD4FBB">
        <w:rPr>
          <w:lang w:val="en-US"/>
        </w:rPr>
        <w:t xml:space="preserve"> can be used to justify nationalism, wars and oppression</w:t>
      </w:r>
      <w:r w:rsidR="00D81518" w:rsidRPr="00FD4FBB">
        <w:rPr>
          <w:lang w:val="en-US"/>
        </w:rPr>
        <w:t>, promote our political parties and their agendas</w:t>
      </w:r>
      <w:r w:rsidR="00225805">
        <w:rPr>
          <w:lang w:val="en-US"/>
        </w:rPr>
        <w:t xml:space="preserve"> and establish prosperity gospel</w:t>
      </w:r>
      <w:r w:rsidR="00EE3A48">
        <w:rPr>
          <w:lang w:val="en-US"/>
        </w:rPr>
        <w:t>s</w:t>
      </w:r>
      <w:r w:rsidRPr="00FD4FBB">
        <w:rPr>
          <w:lang w:val="en-US"/>
        </w:rPr>
        <w:t xml:space="preserve">. </w:t>
      </w:r>
      <w:r w:rsidR="00C3102F" w:rsidRPr="00FD4FBB">
        <w:rPr>
          <w:lang w:val="en-US"/>
        </w:rPr>
        <w:t xml:space="preserve">The Bible can even be used </w:t>
      </w:r>
      <w:r w:rsidR="00C3102F" w:rsidRPr="00FD4FBB">
        <w:rPr>
          <w:i/>
          <w:iCs/>
          <w:lang w:val="en-US"/>
        </w:rPr>
        <w:t>against</w:t>
      </w:r>
      <w:r w:rsidR="00C3102F" w:rsidRPr="00FD4FBB">
        <w:rPr>
          <w:lang w:val="en-US"/>
        </w:rPr>
        <w:t xml:space="preserve"> biblical education, if you can believe that! </w:t>
      </w:r>
      <w:r w:rsidR="00D81518" w:rsidRPr="00FD4FBB">
        <w:rPr>
          <w:lang w:val="en-US"/>
        </w:rPr>
        <w:t>These are</w:t>
      </w:r>
      <w:r w:rsidR="00C3102F" w:rsidRPr="00FD4FBB">
        <w:rPr>
          <w:lang w:val="en-US"/>
        </w:rPr>
        <w:t xml:space="preserve"> some of</w:t>
      </w:r>
      <w:r w:rsidR="00D81518" w:rsidRPr="00FD4FBB">
        <w:rPr>
          <w:lang w:val="en-US"/>
        </w:rPr>
        <w:t xml:space="preserve"> the worst examples of reading the text within a closed unchallenged community.</w:t>
      </w:r>
      <w:r w:rsidR="005411F6" w:rsidRPr="00FD4FBB">
        <w:rPr>
          <w:lang w:val="en-US"/>
        </w:rPr>
        <w:t xml:space="preserve"> </w:t>
      </w:r>
      <w:r w:rsidR="008F3EFB" w:rsidRPr="00FD4FBB">
        <w:rPr>
          <w:lang w:val="en-US"/>
        </w:rPr>
        <w:t xml:space="preserve">Yes, we may be reading our </w:t>
      </w:r>
      <w:r w:rsidR="00846865" w:rsidRPr="00FD4FBB">
        <w:rPr>
          <w:lang w:val="en-US"/>
        </w:rPr>
        <w:t>B</w:t>
      </w:r>
      <w:r w:rsidR="008F3EFB" w:rsidRPr="00FD4FBB">
        <w:rPr>
          <w:lang w:val="en-US"/>
        </w:rPr>
        <w:t xml:space="preserve">ibles but </w:t>
      </w:r>
      <w:r w:rsidR="00D506DB" w:rsidRPr="00FD4FBB">
        <w:rPr>
          <w:lang w:val="en-US"/>
        </w:rPr>
        <w:t>isolated exegesis of the text is not enough</w:t>
      </w:r>
      <w:r w:rsidR="008F3EFB" w:rsidRPr="00FD4FBB">
        <w:rPr>
          <w:lang w:val="en-US"/>
        </w:rPr>
        <w:t>.</w:t>
      </w:r>
      <w:r w:rsidR="00D506DB" w:rsidRPr="00FD4FBB">
        <w:rPr>
          <w:lang w:val="en-US"/>
        </w:rPr>
        <w:t xml:space="preserve"> Knowing the biblical languages and mastering all the exegetical tools is inadequate. We are only one book in the canon of Christ’s universal body. If Christ is the truth, then all the members of His body must speak it and live it, and all members of His body must hear</w:t>
      </w:r>
      <w:r w:rsidR="009F28DC" w:rsidRPr="00FD4FBB">
        <w:rPr>
          <w:lang w:val="en-US"/>
        </w:rPr>
        <w:t xml:space="preserve"> each other. Not only His body that is visible now on this earth, but His body that went before us, the church fathers, the reformers, </w:t>
      </w:r>
      <w:proofErr w:type="gramStart"/>
      <w:r w:rsidR="009F28DC" w:rsidRPr="00FD4FBB">
        <w:rPr>
          <w:lang w:val="en-US"/>
        </w:rPr>
        <w:t>all</w:t>
      </w:r>
      <w:proofErr w:type="gramEnd"/>
      <w:r w:rsidR="009F28DC" w:rsidRPr="00FD4FBB">
        <w:rPr>
          <w:lang w:val="en-US"/>
        </w:rPr>
        <w:t xml:space="preserve"> history o</w:t>
      </w:r>
      <w:r w:rsidR="006E171E" w:rsidRPr="00FD4FBB">
        <w:rPr>
          <w:lang w:val="en-US"/>
        </w:rPr>
        <w:t xml:space="preserve">f interpretation must be heeded. And this heeding of different diachronic and synchronic voices and traditions does not usually happen </w:t>
      </w:r>
      <w:r w:rsidR="006E171E" w:rsidRPr="00FD4FBB">
        <w:rPr>
          <w:lang w:val="en-US"/>
        </w:rPr>
        <w:lastRenderedPageBreak/>
        <w:t>within a church or denomination, but in</w:t>
      </w:r>
      <w:r w:rsidR="00FD4FBB" w:rsidRPr="00FD4FBB">
        <w:rPr>
          <w:lang w:val="en-US"/>
        </w:rPr>
        <w:t xml:space="preserve"> the context of </w:t>
      </w:r>
      <w:r w:rsidR="006E171E" w:rsidRPr="00FD4FBB">
        <w:rPr>
          <w:lang w:val="en-US"/>
        </w:rPr>
        <w:t xml:space="preserve">multi-denominational theological </w:t>
      </w:r>
      <w:r w:rsidR="00FD4FBB" w:rsidRPr="00FD4FBB">
        <w:rPr>
          <w:lang w:val="en-US"/>
        </w:rPr>
        <w:t>education</w:t>
      </w:r>
      <w:r w:rsidR="006E171E" w:rsidRPr="00FD4FBB">
        <w:rPr>
          <w:lang w:val="en-US"/>
        </w:rPr>
        <w:t xml:space="preserve">, in libraries, in </w:t>
      </w:r>
      <w:r w:rsidR="007147CD">
        <w:rPr>
          <w:lang w:val="en-US"/>
        </w:rPr>
        <w:t xml:space="preserve">friendly </w:t>
      </w:r>
      <w:r w:rsidR="006E171E" w:rsidRPr="00FD4FBB">
        <w:rPr>
          <w:lang w:val="en-US"/>
        </w:rPr>
        <w:t xml:space="preserve">debates and in co-operative ministries. To be </w:t>
      </w:r>
      <w:r w:rsidR="009F28DC" w:rsidRPr="00FD4FBB">
        <w:rPr>
          <w:lang w:val="en-US"/>
        </w:rPr>
        <w:t xml:space="preserve">“biblical” is not a simple or easy task. </w:t>
      </w:r>
      <w:r w:rsidR="001E3153" w:rsidRPr="00FD4FBB">
        <w:rPr>
          <w:lang w:val="en-US"/>
        </w:rPr>
        <w:t>T</w:t>
      </w:r>
      <w:r w:rsidR="009F28DC" w:rsidRPr="00FD4FBB">
        <w:rPr>
          <w:lang w:val="en-US"/>
        </w:rPr>
        <w:t>h</w:t>
      </w:r>
      <w:r w:rsidR="008F3EFB" w:rsidRPr="00FD4FBB">
        <w:rPr>
          <w:lang w:val="en-US"/>
        </w:rPr>
        <w:t xml:space="preserve">e question </w:t>
      </w:r>
      <w:r w:rsidR="00DD21BE" w:rsidRPr="00FD4FBB">
        <w:rPr>
          <w:lang w:val="en-US"/>
        </w:rPr>
        <w:t>is</w:t>
      </w:r>
      <w:r w:rsidR="008F3EFB" w:rsidRPr="00FD4FBB">
        <w:rPr>
          <w:lang w:val="en-US"/>
        </w:rPr>
        <w:t>:</w:t>
      </w:r>
      <w:r w:rsidR="00D81518" w:rsidRPr="00FD4FBB">
        <w:rPr>
          <w:lang w:val="en-US"/>
        </w:rPr>
        <w:t xml:space="preserve"> </w:t>
      </w:r>
      <w:r w:rsidRPr="00FD4FBB">
        <w:rPr>
          <w:lang w:val="en-US"/>
        </w:rPr>
        <w:t xml:space="preserve">How can we ensure that we are </w:t>
      </w:r>
      <w:r w:rsidR="006E171E" w:rsidRPr="00FD4FBB">
        <w:rPr>
          <w:lang w:val="en-US"/>
        </w:rPr>
        <w:t xml:space="preserve">biblical </w:t>
      </w:r>
      <w:r w:rsidR="006E171E" w:rsidRPr="00FD4FBB">
        <w:rPr>
          <w:i/>
          <w:iCs/>
          <w:lang w:val="en-US"/>
        </w:rPr>
        <w:t>without</w:t>
      </w:r>
      <w:r w:rsidRPr="00FD4FBB">
        <w:rPr>
          <w:lang w:val="en-US"/>
        </w:rPr>
        <w:t xml:space="preserve"> reading our “fertility cult” into the text?</w:t>
      </w:r>
      <w:r w:rsidR="00D81518" w:rsidRPr="00FD4FBB">
        <w:rPr>
          <w:lang w:val="en-US"/>
        </w:rPr>
        <w:t xml:space="preserve"> How can we </w:t>
      </w:r>
      <w:r w:rsidR="001833DE" w:rsidRPr="00FD4FBB">
        <w:rPr>
          <w:lang w:val="en-US"/>
        </w:rPr>
        <w:t>shield</w:t>
      </w:r>
      <w:r w:rsidR="00D81518" w:rsidRPr="00FD4FBB">
        <w:rPr>
          <w:lang w:val="en-US"/>
        </w:rPr>
        <w:t xml:space="preserve"> </w:t>
      </w:r>
      <w:r w:rsidR="00D81518" w:rsidRPr="00FD4FBB">
        <w:rPr>
          <w:i/>
          <w:iCs/>
          <w:lang w:val="en-US"/>
        </w:rPr>
        <w:t>against</w:t>
      </w:r>
      <w:r w:rsidR="00D81518" w:rsidRPr="00FD4FBB">
        <w:rPr>
          <w:lang w:val="en-US"/>
        </w:rPr>
        <w:t xml:space="preserve"> shielding ourselves from the disturbing voices of the prophets?</w:t>
      </w:r>
      <w:r w:rsidR="00D81518">
        <w:rPr>
          <w:lang w:val="en-US"/>
        </w:rPr>
        <w:t xml:space="preserve"> </w:t>
      </w:r>
      <w:r>
        <w:rPr>
          <w:lang w:val="en-US"/>
        </w:rPr>
        <w:t xml:space="preserve"> </w:t>
      </w:r>
    </w:p>
    <w:p w:rsidR="001833DE" w:rsidRDefault="00284982" w:rsidP="001833DE">
      <w:pPr>
        <w:pStyle w:val="Heading1"/>
        <w:rPr>
          <w:lang w:val="en-US"/>
        </w:rPr>
      </w:pPr>
      <w:r>
        <w:rPr>
          <w:lang w:val="en-US"/>
        </w:rPr>
        <w:t>Concluding Remarks</w:t>
      </w:r>
      <w:bookmarkStart w:id="0" w:name="_GoBack"/>
      <w:bookmarkEnd w:id="0"/>
    </w:p>
    <w:p w:rsidR="001E3153" w:rsidRDefault="009413CC" w:rsidP="00302A1B">
      <w:pPr>
        <w:contextualSpacing/>
        <w:jc w:val="both"/>
        <w:rPr>
          <w:lang w:val="en-US"/>
        </w:rPr>
      </w:pPr>
      <w:r>
        <w:rPr>
          <w:lang w:val="en-US"/>
        </w:rPr>
        <w:t xml:space="preserve">Having been trained to study and identify our society’s “fertility cults” and critically discern realities behind the surface of “pious” chatter, the prophet has done the work of putting our lenses of reading the text under scrutiny. </w:t>
      </w:r>
      <w:proofErr w:type="gramStart"/>
      <w:r w:rsidR="00750700">
        <w:rPr>
          <w:lang w:val="en-US"/>
        </w:rPr>
        <w:t>But what now?</w:t>
      </w:r>
      <w:proofErr w:type="gramEnd"/>
      <w:r w:rsidR="00750700">
        <w:rPr>
          <w:lang w:val="en-US"/>
        </w:rPr>
        <w:t xml:space="preserve"> Is the prophet able to take us back to a golden age of uncontaminated reading and an uncontaminated church? Are the prophets not a product of their culture also</w:t>
      </w:r>
      <w:r w:rsidR="006E171E">
        <w:rPr>
          <w:lang w:val="en-US"/>
        </w:rPr>
        <w:t>, limited to their community’s understanding</w:t>
      </w:r>
      <w:r w:rsidR="00750700">
        <w:rPr>
          <w:lang w:val="en-US"/>
        </w:rPr>
        <w:t xml:space="preserve">? Yes, they are. </w:t>
      </w:r>
      <w:r w:rsidR="003C2FE0">
        <w:rPr>
          <w:lang w:val="en-US"/>
        </w:rPr>
        <w:t>Therefore, p</w:t>
      </w:r>
      <w:r>
        <w:rPr>
          <w:lang w:val="en-US"/>
        </w:rPr>
        <w:t xml:space="preserve">rophets must </w:t>
      </w:r>
      <w:r w:rsidR="00A13C20">
        <w:rPr>
          <w:lang w:val="en-US"/>
        </w:rPr>
        <w:t>continually</w:t>
      </w:r>
      <w:r w:rsidR="005411F6">
        <w:rPr>
          <w:lang w:val="en-US"/>
        </w:rPr>
        <w:t xml:space="preserve"> </w:t>
      </w:r>
      <w:proofErr w:type="spellStart"/>
      <w:r w:rsidR="005411F6">
        <w:rPr>
          <w:lang w:val="en-US"/>
        </w:rPr>
        <w:t>defamiliariz</w:t>
      </w:r>
      <w:r w:rsidR="00A13C20">
        <w:rPr>
          <w:lang w:val="en-US"/>
        </w:rPr>
        <w:t>e</w:t>
      </w:r>
      <w:proofErr w:type="spellEnd"/>
      <w:r>
        <w:rPr>
          <w:lang w:val="en-US"/>
        </w:rPr>
        <w:t xml:space="preserve"> themselves from the text </w:t>
      </w:r>
      <w:r w:rsidR="00A13C20">
        <w:rPr>
          <w:lang w:val="en-US"/>
        </w:rPr>
        <w:t>as well as from their tradition by remaining open to the interpretation of the other</w:t>
      </w:r>
      <w:r w:rsidR="001E3153">
        <w:rPr>
          <w:lang w:val="en-US"/>
        </w:rPr>
        <w:t xml:space="preserve">, by stepping </w:t>
      </w:r>
      <w:r w:rsidR="00A13C20">
        <w:rPr>
          <w:lang w:val="en-US"/>
        </w:rPr>
        <w:t>in the shoes</w:t>
      </w:r>
      <w:r w:rsidR="001E3153">
        <w:rPr>
          <w:lang w:val="en-US"/>
        </w:rPr>
        <w:t xml:space="preserve"> of the other</w:t>
      </w:r>
      <w:r w:rsidR="00A13C20">
        <w:rPr>
          <w:lang w:val="en-US"/>
        </w:rPr>
        <w:t xml:space="preserve"> and look</w:t>
      </w:r>
      <w:r w:rsidR="001E3153">
        <w:rPr>
          <w:lang w:val="en-US"/>
        </w:rPr>
        <w:t>ing</w:t>
      </w:r>
      <w:r w:rsidR="004929C7">
        <w:rPr>
          <w:lang w:val="en-US"/>
        </w:rPr>
        <w:t xml:space="preserve"> upon their own tradition as in need of rethinking and readopting anew</w:t>
      </w:r>
      <w:r w:rsidR="00A13C20">
        <w:rPr>
          <w:lang w:val="en-US"/>
        </w:rPr>
        <w:t xml:space="preserve">. Did not Isaiah look at Israel and Israel’s election from the perspective of the nations? Did not Job, a non-Israelite teach us about Yahweh? Did not Abraham see his sin before God through the conviction of </w:t>
      </w:r>
      <w:proofErr w:type="spellStart"/>
      <w:r w:rsidR="00A13C20">
        <w:rPr>
          <w:lang w:val="en-US"/>
        </w:rPr>
        <w:t>Abimelech</w:t>
      </w:r>
      <w:proofErr w:type="spellEnd"/>
      <w:r w:rsidR="00A13C20">
        <w:rPr>
          <w:lang w:val="en-US"/>
        </w:rPr>
        <w:t xml:space="preserve">, the king of Egypt? Did not the wonders among the Gentiles </w:t>
      </w:r>
      <w:r w:rsidR="00302A1B">
        <w:rPr>
          <w:lang w:val="en-US"/>
        </w:rPr>
        <w:t>help</w:t>
      </w:r>
      <w:r w:rsidR="00A13C20">
        <w:rPr>
          <w:lang w:val="en-US"/>
        </w:rPr>
        <w:t xml:space="preserve"> the Jerusalem council </w:t>
      </w:r>
      <w:r w:rsidR="003D404E">
        <w:rPr>
          <w:lang w:val="en-US"/>
        </w:rPr>
        <w:t>understand the words of the prop</w:t>
      </w:r>
      <w:r w:rsidR="00302A1B">
        <w:rPr>
          <w:lang w:val="en-US"/>
        </w:rPr>
        <w:t>hets on how the booth of David wa</w:t>
      </w:r>
      <w:r w:rsidR="003D404E">
        <w:rPr>
          <w:lang w:val="en-US"/>
        </w:rPr>
        <w:t xml:space="preserve">s being rebuilt? </w:t>
      </w:r>
    </w:p>
    <w:p w:rsidR="004178FF" w:rsidRDefault="0025571F" w:rsidP="00CF1463">
      <w:pPr>
        <w:ind w:firstLine="720"/>
        <w:contextualSpacing/>
        <w:jc w:val="both"/>
        <w:rPr>
          <w:lang w:val="en-US"/>
        </w:rPr>
      </w:pPr>
      <w:r>
        <w:rPr>
          <w:lang w:val="en-US"/>
        </w:rPr>
        <w:t xml:space="preserve">This is the burden of the prophets. They carry the weight of the </w:t>
      </w:r>
      <w:r w:rsidR="00CB352F">
        <w:rPr>
          <w:lang w:val="en-US"/>
        </w:rPr>
        <w:t>people of God</w:t>
      </w:r>
      <w:r>
        <w:rPr>
          <w:lang w:val="en-US"/>
        </w:rPr>
        <w:t xml:space="preserve"> on their shoulders. </w:t>
      </w:r>
      <w:r w:rsidR="003C2FE0">
        <w:rPr>
          <w:lang w:val="en-US"/>
        </w:rPr>
        <w:t xml:space="preserve">They cannot settle, become comfortable, </w:t>
      </w:r>
      <w:proofErr w:type="gramStart"/>
      <w:r w:rsidR="003C2FE0">
        <w:rPr>
          <w:lang w:val="en-US"/>
        </w:rPr>
        <w:t>feel</w:t>
      </w:r>
      <w:proofErr w:type="gramEnd"/>
      <w:r w:rsidR="003C2FE0">
        <w:rPr>
          <w:lang w:val="en-US"/>
        </w:rPr>
        <w:t xml:space="preserve"> at home.</w:t>
      </w:r>
      <w:r w:rsidR="00F02A19">
        <w:rPr>
          <w:lang w:val="en-US"/>
        </w:rPr>
        <w:t xml:space="preserve"> The role of evangelical theological education is to encourage, support and </w:t>
      </w:r>
      <w:r w:rsidR="006D139D">
        <w:rPr>
          <w:lang w:val="en-US"/>
        </w:rPr>
        <w:t>equip prophets</w:t>
      </w:r>
      <w:r w:rsidR="00C65B11">
        <w:rPr>
          <w:lang w:val="en-US"/>
        </w:rPr>
        <w:t xml:space="preserve"> who will</w:t>
      </w:r>
      <w:r>
        <w:rPr>
          <w:lang w:val="en-US"/>
        </w:rPr>
        <w:t xml:space="preserve"> </w:t>
      </w:r>
      <w:r w:rsidR="00C65B11">
        <w:rPr>
          <w:lang w:val="en-US"/>
        </w:rPr>
        <w:t xml:space="preserve">be able to </w:t>
      </w:r>
      <w:r>
        <w:rPr>
          <w:lang w:val="en-US"/>
        </w:rPr>
        <w:t xml:space="preserve">identify </w:t>
      </w:r>
      <w:r w:rsidR="00C65B11">
        <w:rPr>
          <w:lang w:val="en-US"/>
        </w:rPr>
        <w:t>our</w:t>
      </w:r>
      <w:r>
        <w:rPr>
          <w:lang w:val="en-US"/>
        </w:rPr>
        <w:t xml:space="preserve"> fertility cults which claim our allegiance. They </w:t>
      </w:r>
      <w:r w:rsidR="00C65B11">
        <w:rPr>
          <w:lang w:val="en-US"/>
        </w:rPr>
        <w:t xml:space="preserve">will be able to </w:t>
      </w:r>
      <w:r>
        <w:rPr>
          <w:lang w:val="en-US"/>
        </w:rPr>
        <w:t xml:space="preserve">expose our pious talk </w:t>
      </w:r>
      <w:r w:rsidR="00C65B11">
        <w:rPr>
          <w:lang w:val="en-US"/>
        </w:rPr>
        <w:t xml:space="preserve">that deceives us </w:t>
      </w:r>
      <w:r>
        <w:rPr>
          <w:lang w:val="en-US"/>
        </w:rPr>
        <w:t>and reveal hidden</w:t>
      </w:r>
      <w:r w:rsidR="00C65B11">
        <w:rPr>
          <w:lang w:val="en-US"/>
        </w:rPr>
        <w:t xml:space="preserve"> allegiances we are unaware of</w:t>
      </w:r>
      <w:r w:rsidR="00CF1463">
        <w:rPr>
          <w:lang w:val="en-US"/>
        </w:rPr>
        <w:t>. They will be able to show us life beyond “bread”, by</w:t>
      </w:r>
      <w:r>
        <w:rPr>
          <w:lang w:val="en-US"/>
        </w:rPr>
        <w:t xml:space="preserve"> rescu</w:t>
      </w:r>
      <w:r w:rsidR="00CF1463">
        <w:rPr>
          <w:lang w:val="en-US"/>
        </w:rPr>
        <w:t>ing</w:t>
      </w:r>
      <w:r>
        <w:rPr>
          <w:lang w:val="en-US"/>
        </w:rPr>
        <w:t xml:space="preserve"> our texts</w:t>
      </w:r>
      <w:r w:rsidR="00CB352F">
        <w:rPr>
          <w:lang w:val="en-US"/>
        </w:rPr>
        <w:t xml:space="preserve"> </w:t>
      </w:r>
      <w:r>
        <w:rPr>
          <w:lang w:val="en-US"/>
        </w:rPr>
        <w:t xml:space="preserve">from </w:t>
      </w:r>
      <w:r w:rsidR="00CF1463">
        <w:rPr>
          <w:lang w:val="en-US"/>
        </w:rPr>
        <w:t>oblivion</w:t>
      </w:r>
      <w:r>
        <w:rPr>
          <w:lang w:val="en-US"/>
        </w:rPr>
        <w:t>, re-read</w:t>
      </w:r>
      <w:r w:rsidR="00CF1463">
        <w:rPr>
          <w:lang w:val="en-US"/>
        </w:rPr>
        <w:t>ing</w:t>
      </w:r>
      <w:r>
        <w:rPr>
          <w:lang w:val="en-US"/>
        </w:rPr>
        <w:t xml:space="preserve"> them for us</w:t>
      </w:r>
      <w:r w:rsidR="004178FF">
        <w:rPr>
          <w:lang w:val="en-US"/>
        </w:rPr>
        <w:t xml:space="preserve"> and open</w:t>
      </w:r>
      <w:r w:rsidR="00CF1463">
        <w:rPr>
          <w:lang w:val="en-US"/>
        </w:rPr>
        <w:t>ing</w:t>
      </w:r>
      <w:r w:rsidR="004178FF">
        <w:rPr>
          <w:lang w:val="en-US"/>
        </w:rPr>
        <w:t xml:space="preserve"> our ears to what the Spirit says through the other, </w:t>
      </w:r>
      <w:r w:rsidR="00C65B11">
        <w:rPr>
          <w:lang w:val="en-US"/>
        </w:rPr>
        <w:t xml:space="preserve">show us </w:t>
      </w:r>
      <w:r w:rsidR="004178FF">
        <w:rPr>
          <w:lang w:val="en-US"/>
        </w:rPr>
        <w:t xml:space="preserve">truths from unexpected places. </w:t>
      </w:r>
    </w:p>
    <w:p w:rsidR="00B30548" w:rsidRDefault="00B30548" w:rsidP="006B2683">
      <w:pPr>
        <w:contextualSpacing/>
        <w:jc w:val="both"/>
        <w:rPr>
          <w:lang w:val="en-US"/>
        </w:rPr>
      </w:pPr>
    </w:p>
    <w:p w:rsidR="00865DCB" w:rsidRDefault="00865DCB">
      <w:pPr>
        <w:rPr>
          <w:lang w:val="en-US"/>
        </w:rPr>
      </w:pPr>
      <w:r>
        <w:rPr>
          <w:lang w:val="en-US"/>
        </w:rPr>
        <w:br w:type="page"/>
      </w:r>
    </w:p>
    <w:p w:rsidR="00865DCB" w:rsidRPr="00DC1AA9" w:rsidRDefault="00865DCB" w:rsidP="006C08AC">
      <w:pPr>
        <w:pStyle w:val="Heading1"/>
        <w:jc w:val="center"/>
        <w:rPr>
          <w:lang w:val="en-US"/>
        </w:rPr>
      </w:pPr>
      <w:r w:rsidRPr="00DC1AA9">
        <w:rPr>
          <w:lang w:val="en-US"/>
        </w:rPr>
        <w:lastRenderedPageBreak/>
        <w:t>Bibliography</w:t>
      </w:r>
    </w:p>
    <w:p w:rsidR="000337AB" w:rsidRDefault="000337AB" w:rsidP="009F51F7">
      <w:pPr>
        <w:ind w:left="720" w:hanging="720"/>
        <w:rPr>
          <w:lang w:val="en-US"/>
        </w:rPr>
      </w:pPr>
      <w:proofErr w:type="spellStart"/>
      <w:r w:rsidRPr="005411F6">
        <w:rPr>
          <w:lang w:val="en-US"/>
        </w:rPr>
        <w:t>Bebbington</w:t>
      </w:r>
      <w:proofErr w:type="spellEnd"/>
      <w:r w:rsidRPr="005411F6">
        <w:rPr>
          <w:lang w:val="en-US"/>
        </w:rPr>
        <w:t>,</w:t>
      </w:r>
      <w:r>
        <w:rPr>
          <w:lang w:val="en-US"/>
        </w:rPr>
        <w:t xml:space="preserve"> </w:t>
      </w:r>
      <w:r w:rsidRPr="005411F6">
        <w:rPr>
          <w:lang w:val="en-US"/>
        </w:rPr>
        <w:t xml:space="preserve">D. W. </w:t>
      </w:r>
      <w:r w:rsidRPr="005411F6">
        <w:rPr>
          <w:i/>
          <w:iCs/>
          <w:lang w:val="en-US"/>
        </w:rPr>
        <w:t>Evangelicalism in Modern Britain: A History from the 1730s to the 1980s</w:t>
      </w:r>
      <w:r>
        <w:rPr>
          <w:i/>
          <w:iCs/>
          <w:lang w:val="en-US"/>
        </w:rPr>
        <w:t>.</w:t>
      </w:r>
      <w:r w:rsidRPr="005411F6">
        <w:rPr>
          <w:lang w:val="en-US"/>
        </w:rPr>
        <w:t xml:space="preserve"> London: </w:t>
      </w:r>
      <w:proofErr w:type="spellStart"/>
      <w:r w:rsidRPr="005411F6">
        <w:rPr>
          <w:lang w:val="en-US"/>
        </w:rPr>
        <w:t>Unwin</w:t>
      </w:r>
      <w:proofErr w:type="spellEnd"/>
      <w:r w:rsidRPr="005411F6">
        <w:rPr>
          <w:lang w:val="en-US"/>
        </w:rPr>
        <w:t xml:space="preserve"> Hyman, 1989.</w:t>
      </w:r>
    </w:p>
    <w:p w:rsidR="000337AB" w:rsidRPr="005411F6" w:rsidRDefault="000337AB" w:rsidP="009F51F7">
      <w:pPr>
        <w:ind w:left="720" w:hanging="720"/>
        <w:rPr>
          <w:lang w:val="en-US"/>
        </w:rPr>
      </w:pPr>
      <w:r>
        <w:rPr>
          <w:lang w:val="en-US"/>
        </w:rPr>
        <w:t xml:space="preserve">Berger, Peter L. </w:t>
      </w:r>
      <w:r w:rsidRPr="00AF5F17">
        <w:rPr>
          <w:i/>
          <w:iCs/>
          <w:lang w:val="en-US"/>
        </w:rPr>
        <w:t>A Rumor of Angels: Modern Society and the Rediscovery of the Supernatural</w:t>
      </w:r>
      <w:r>
        <w:rPr>
          <w:i/>
          <w:iCs/>
          <w:lang w:val="en-US"/>
        </w:rPr>
        <w:t>.</w:t>
      </w:r>
      <w:r>
        <w:rPr>
          <w:lang w:val="en-US"/>
        </w:rPr>
        <w:t xml:space="preserve"> Garden City: Doubleday, 1969.</w:t>
      </w:r>
    </w:p>
    <w:p w:rsidR="000337AB" w:rsidRPr="005411F6" w:rsidRDefault="000337AB" w:rsidP="009B3C6D">
      <w:pPr>
        <w:ind w:left="720" w:hanging="720"/>
        <w:rPr>
          <w:lang w:val="en-US"/>
        </w:rPr>
      </w:pPr>
      <w:r w:rsidRPr="005411F6">
        <w:rPr>
          <w:lang w:val="en-US"/>
        </w:rPr>
        <w:t>Briggs,</w:t>
      </w:r>
      <w:r>
        <w:rPr>
          <w:lang w:val="en-US"/>
        </w:rPr>
        <w:t xml:space="preserve"> </w:t>
      </w:r>
      <w:r w:rsidRPr="005411F6">
        <w:rPr>
          <w:lang w:val="en-US"/>
        </w:rPr>
        <w:t>Richard S. “The Bible Before Us: Evangelical Possibilities for Taking Scripture Seriously</w:t>
      </w:r>
      <w:r>
        <w:rPr>
          <w:lang w:val="en-US"/>
        </w:rPr>
        <w:t>.</w:t>
      </w:r>
      <w:r w:rsidRPr="005411F6">
        <w:rPr>
          <w:lang w:val="en-US"/>
        </w:rPr>
        <w:t>”</w:t>
      </w:r>
      <w:r>
        <w:rPr>
          <w:lang w:val="en-US"/>
        </w:rPr>
        <w:t xml:space="preserve"> Pages 14-28</w:t>
      </w:r>
      <w:r w:rsidRPr="005411F6">
        <w:rPr>
          <w:lang w:val="en-US"/>
        </w:rPr>
        <w:t xml:space="preserve"> in </w:t>
      </w:r>
      <w:r w:rsidRPr="005411F6">
        <w:rPr>
          <w:i/>
          <w:iCs/>
          <w:lang w:val="en-US"/>
        </w:rPr>
        <w:t>New Perspectives for Evangelical Theology: Engaging with God, Scripture and the World</w:t>
      </w:r>
      <w:r w:rsidRPr="005411F6">
        <w:rPr>
          <w:lang w:val="en-US"/>
        </w:rPr>
        <w:t>.</w:t>
      </w:r>
      <w:r>
        <w:rPr>
          <w:lang w:val="en-US"/>
        </w:rPr>
        <w:t xml:space="preserve"> </w:t>
      </w:r>
      <w:proofErr w:type="gramStart"/>
      <w:r>
        <w:rPr>
          <w:lang w:val="en-US"/>
        </w:rPr>
        <w:t>Edited by Tom Greggs.</w:t>
      </w:r>
      <w:proofErr w:type="gramEnd"/>
      <w:r w:rsidRPr="005411F6">
        <w:rPr>
          <w:lang w:val="en-US"/>
        </w:rPr>
        <w:t xml:space="preserve"> London: </w:t>
      </w:r>
      <w:proofErr w:type="spellStart"/>
      <w:r w:rsidRPr="005411F6">
        <w:rPr>
          <w:lang w:val="en-US"/>
        </w:rPr>
        <w:t>Routledge</w:t>
      </w:r>
      <w:proofErr w:type="spellEnd"/>
      <w:r w:rsidRPr="005411F6">
        <w:rPr>
          <w:lang w:val="en-US"/>
        </w:rPr>
        <w:t>, 2010.</w:t>
      </w:r>
    </w:p>
    <w:p w:rsidR="000337AB" w:rsidRDefault="000337AB" w:rsidP="009B3C6D">
      <w:pPr>
        <w:ind w:left="720" w:hanging="720"/>
        <w:rPr>
          <w:lang w:val="en-US"/>
        </w:rPr>
      </w:pPr>
      <w:proofErr w:type="spellStart"/>
      <w:r w:rsidRPr="005411F6">
        <w:rPr>
          <w:lang w:val="en-US"/>
        </w:rPr>
        <w:t>Farisani</w:t>
      </w:r>
      <w:proofErr w:type="spellEnd"/>
      <w:r w:rsidRPr="005411F6">
        <w:rPr>
          <w:lang w:val="en-US"/>
        </w:rPr>
        <w:t>,</w:t>
      </w:r>
      <w:r>
        <w:rPr>
          <w:lang w:val="en-US"/>
        </w:rPr>
        <w:t xml:space="preserve"> </w:t>
      </w:r>
      <w:proofErr w:type="spellStart"/>
      <w:r w:rsidRPr="005411F6">
        <w:rPr>
          <w:lang w:val="en-US"/>
        </w:rPr>
        <w:t>Elewani</w:t>
      </w:r>
      <w:proofErr w:type="spellEnd"/>
      <w:r>
        <w:rPr>
          <w:lang w:val="en-US"/>
        </w:rPr>
        <w:t>.</w:t>
      </w:r>
      <w:r w:rsidRPr="005411F6">
        <w:rPr>
          <w:lang w:val="en-US"/>
        </w:rPr>
        <w:t xml:space="preserve"> </w:t>
      </w:r>
      <w:proofErr w:type="gramStart"/>
      <w:r w:rsidRPr="005411F6">
        <w:rPr>
          <w:lang w:val="en-US"/>
        </w:rPr>
        <w:t>“Impact on New Policy Developments in Higher Education on Theological Education</w:t>
      </w:r>
      <w:r>
        <w:rPr>
          <w:lang w:val="en-US"/>
        </w:rPr>
        <w:t>.</w:t>
      </w:r>
      <w:r w:rsidRPr="005411F6">
        <w:rPr>
          <w:lang w:val="en-US"/>
        </w:rPr>
        <w:t>”</w:t>
      </w:r>
      <w:proofErr w:type="gramEnd"/>
      <w:r w:rsidRPr="005411F6">
        <w:rPr>
          <w:lang w:val="en-US"/>
        </w:rPr>
        <w:t xml:space="preserve"> </w:t>
      </w:r>
      <w:proofErr w:type="spellStart"/>
      <w:r w:rsidRPr="005411F6">
        <w:rPr>
          <w:i/>
          <w:iCs/>
          <w:lang w:val="en-US"/>
        </w:rPr>
        <w:t>Studia</w:t>
      </w:r>
      <w:proofErr w:type="spellEnd"/>
      <w:r w:rsidRPr="005411F6">
        <w:rPr>
          <w:i/>
          <w:iCs/>
          <w:lang w:val="en-US"/>
        </w:rPr>
        <w:t xml:space="preserve"> </w:t>
      </w:r>
      <w:proofErr w:type="spellStart"/>
      <w:r w:rsidRPr="005411F6">
        <w:rPr>
          <w:i/>
          <w:iCs/>
          <w:lang w:val="en-US"/>
        </w:rPr>
        <w:t>Historiae</w:t>
      </w:r>
      <w:proofErr w:type="spellEnd"/>
      <w:r w:rsidRPr="005411F6">
        <w:rPr>
          <w:i/>
          <w:iCs/>
          <w:lang w:val="en-US"/>
        </w:rPr>
        <w:t xml:space="preserve"> </w:t>
      </w:r>
      <w:proofErr w:type="spellStart"/>
      <w:r w:rsidRPr="005411F6">
        <w:rPr>
          <w:i/>
          <w:iCs/>
          <w:lang w:val="en-US"/>
        </w:rPr>
        <w:t>Ecclesiasticae</w:t>
      </w:r>
      <w:proofErr w:type="spellEnd"/>
      <w:r>
        <w:rPr>
          <w:lang w:val="en-US"/>
        </w:rPr>
        <w:t xml:space="preserve"> 36 (July 2010): 287-303</w:t>
      </w:r>
      <w:r w:rsidRPr="005411F6">
        <w:rPr>
          <w:lang w:val="en-US"/>
        </w:rPr>
        <w:t>.</w:t>
      </w:r>
    </w:p>
    <w:p w:rsidR="000337AB" w:rsidRDefault="000337AB" w:rsidP="000337AB">
      <w:pPr>
        <w:rPr>
          <w:lang w:val="en-US"/>
        </w:rPr>
      </w:pPr>
      <w:r>
        <w:rPr>
          <w:lang w:val="en-US"/>
        </w:rPr>
        <w:t xml:space="preserve">Healey, Joseph P. “Fertility Cults.” </w:t>
      </w:r>
      <w:r w:rsidRPr="00865DCB">
        <w:rPr>
          <w:i/>
          <w:iCs/>
          <w:lang w:val="en-US"/>
        </w:rPr>
        <w:t>Anchor Bible Dictionary</w:t>
      </w:r>
      <w:r>
        <w:rPr>
          <w:lang w:val="en-US"/>
        </w:rPr>
        <w:t xml:space="preserve"> 2:791-793.</w:t>
      </w:r>
    </w:p>
    <w:p w:rsidR="000337AB" w:rsidRPr="005411F6" w:rsidRDefault="000337AB" w:rsidP="009B3C6D">
      <w:pPr>
        <w:ind w:left="720" w:hanging="720"/>
        <w:rPr>
          <w:lang w:val="en-US"/>
        </w:rPr>
      </w:pPr>
      <w:r w:rsidRPr="005411F6">
        <w:rPr>
          <w:lang w:val="en-US"/>
        </w:rPr>
        <w:t>Heidegger,</w:t>
      </w:r>
      <w:r>
        <w:rPr>
          <w:lang w:val="en-US"/>
        </w:rPr>
        <w:t xml:space="preserve"> </w:t>
      </w:r>
      <w:r w:rsidRPr="005411F6">
        <w:rPr>
          <w:lang w:val="en-US"/>
        </w:rPr>
        <w:t>Martin</w:t>
      </w:r>
      <w:r>
        <w:rPr>
          <w:lang w:val="en-US"/>
        </w:rPr>
        <w:t>.</w:t>
      </w:r>
      <w:r w:rsidRPr="005411F6">
        <w:rPr>
          <w:lang w:val="en-US"/>
        </w:rPr>
        <w:t xml:space="preserve"> </w:t>
      </w:r>
      <w:r w:rsidRPr="009B3C6D">
        <w:rPr>
          <w:i/>
          <w:iCs/>
          <w:lang w:val="en-US"/>
        </w:rPr>
        <w:t>Being and Time</w:t>
      </w:r>
      <w:r>
        <w:rPr>
          <w:i/>
          <w:iCs/>
          <w:lang w:val="en-US"/>
        </w:rPr>
        <w:t>.</w:t>
      </w:r>
      <w:r w:rsidRPr="005411F6">
        <w:rPr>
          <w:lang w:val="en-US"/>
        </w:rPr>
        <w:t xml:space="preserve"> </w:t>
      </w:r>
      <w:proofErr w:type="gramStart"/>
      <w:r>
        <w:rPr>
          <w:lang w:val="en-US"/>
        </w:rPr>
        <w:t>Translated by</w:t>
      </w:r>
      <w:r w:rsidRPr="005411F6">
        <w:rPr>
          <w:lang w:val="en-US"/>
        </w:rPr>
        <w:t xml:space="preserve"> John </w:t>
      </w:r>
      <w:proofErr w:type="spellStart"/>
      <w:r w:rsidRPr="005411F6">
        <w:rPr>
          <w:lang w:val="en-US"/>
        </w:rPr>
        <w:t>Macquarrie</w:t>
      </w:r>
      <w:proofErr w:type="spellEnd"/>
      <w:r>
        <w:rPr>
          <w:lang w:val="en-US"/>
        </w:rPr>
        <w:t xml:space="preserve"> and Edward Robinson.</w:t>
      </w:r>
      <w:proofErr w:type="gramEnd"/>
      <w:r>
        <w:rPr>
          <w:lang w:val="en-US"/>
        </w:rPr>
        <w:t xml:space="preserve"> </w:t>
      </w:r>
      <w:proofErr w:type="gramStart"/>
      <w:r>
        <w:rPr>
          <w:lang w:val="en-US"/>
        </w:rPr>
        <w:t>Reprint edition.</w:t>
      </w:r>
      <w:proofErr w:type="gramEnd"/>
      <w:r>
        <w:rPr>
          <w:lang w:val="en-US"/>
        </w:rPr>
        <w:t xml:space="preserve"> New York: Harper, 2008.</w:t>
      </w:r>
    </w:p>
    <w:p w:rsidR="000337AB" w:rsidRPr="005411F6" w:rsidRDefault="000337AB" w:rsidP="009F51F7">
      <w:pPr>
        <w:ind w:left="720" w:hanging="720"/>
        <w:rPr>
          <w:lang w:val="en-US"/>
        </w:rPr>
      </w:pPr>
      <w:r w:rsidRPr="005411F6">
        <w:rPr>
          <w:lang w:val="en-US"/>
        </w:rPr>
        <w:t>Larsen,</w:t>
      </w:r>
      <w:r>
        <w:rPr>
          <w:lang w:val="en-US"/>
        </w:rPr>
        <w:t xml:space="preserve"> </w:t>
      </w:r>
      <w:r w:rsidRPr="005411F6">
        <w:rPr>
          <w:lang w:val="en-US"/>
        </w:rPr>
        <w:t>Timothy</w:t>
      </w:r>
      <w:r>
        <w:rPr>
          <w:lang w:val="en-US"/>
        </w:rPr>
        <w:t>.</w:t>
      </w:r>
      <w:r w:rsidRPr="005411F6">
        <w:rPr>
          <w:lang w:val="en-US"/>
        </w:rPr>
        <w:t xml:space="preserve"> </w:t>
      </w:r>
      <w:proofErr w:type="gramStart"/>
      <w:r w:rsidRPr="005411F6">
        <w:rPr>
          <w:lang w:val="en-US"/>
        </w:rPr>
        <w:t>“Defining and Lo</w:t>
      </w:r>
      <w:r>
        <w:rPr>
          <w:lang w:val="en-US"/>
        </w:rPr>
        <w:t>cating Evangelicalism.</w:t>
      </w:r>
      <w:r w:rsidRPr="005411F6">
        <w:rPr>
          <w:lang w:val="en-US"/>
        </w:rPr>
        <w:t>”</w:t>
      </w:r>
      <w:proofErr w:type="gramEnd"/>
      <w:r>
        <w:rPr>
          <w:lang w:val="en-US"/>
        </w:rPr>
        <w:t xml:space="preserve"> </w:t>
      </w:r>
      <w:proofErr w:type="gramStart"/>
      <w:r>
        <w:rPr>
          <w:lang w:val="en-US"/>
        </w:rPr>
        <w:t>Pages 1-14</w:t>
      </w:r>
      <w:r w:rsidRPr="005411F6">
        <w:rPr>
          <w:lang w:val="en-US"/>
        </w:rPr>
        <w:t xml:space="preserve"> in </w:t>
      </w:r>
      <w:r w:rsidRPr="005411F6">
        <w:rPr>
          <w:i/>
          <w:iCs/>
          <w:lang w:val="en-US"/>
        </w:rPr>
        <w:t>The Cambridge Companion to Evangelical Theology</w:t>
      </w:r>
      <w:r>
        <w:rPr>
          <w:i/>
          <w:iCs/>
          <w:lang w:val="en-US"/>
        </w:rPr>
        <w:t>.</w:t>
      </w:r>
      <w:proofErr w:type="gramEnd"/>
      <w:r>
        <w:rPr>
          <w:i/>
          <w:iCs/>
          <w:lang w:val="en-US"/>
        </w:rPr>
        <w:t xml:space="preserve"> </w:t>
      </w:r>
      <w:proofErr w:type="gramStart"/>
      <w:r>
        <w:rPr>
          <w:lang w:val="en-US"/>
        </w:rPr>
        <w:t>Edited by</w:t>
      </w:r>
      <w:r w:rsidRPr="005411F6">
        <w:rPr>
          <w:lang w:val="en-US"/>
        </w:rPr>
        <w:t xml:space="preserve"> Timot</w:t>
      </w:r>
      <w:r>
        <w:rPr>
          <w:lang w:val="en-US"/>
        </w:rPr>
        <w:t xml:space="preserve">hy Larsen and Daniel J. </w:t>
      </w:r>
      <w:proofErr w:type="spellStart"/>
      <w:r>
        <w:rPr>
          <w:lang w:val="en-US"/>
        </w:rPr>
        <w:t>Treier</w:t>
      </w:r>
      <w:proofErr w:type="spellEnd"/>
      <w:r>
        <w:rPr>
          <w:lang w:val="en-US"/>
        </w:rPr>
        <w:t>.</w:t>
      </w:r>
      <w:proofErr w:type="gramEnd"/>
      <w:r>
        <w:rPr>
          <w:lang w:val="en-US"/>
        </w:rPr>
        <w:t xml:space="preserve"> </w:t>
      </w:r>
      <w:r w:rsidRPr="005411F6">
        <w:rPr>
          <w:lang w:val="en-US"/>
        </w:rPr>
        <w:t>Cambridge: CUP, 2007.</w:t>
      </w:r>
    </w:p>
    <w:p w:rsidR="000337AB" w:rsidRPr="005411F6" w:rsidRDefault="000337AB" w:rsidP="009B3C6D">
      <w:pPr>
        <w:ind w:left="720" w:hanging="720"/>
        <w:rPr>
          <w:lang w:val="en-US"/>
        </w:rPr>
      </w:pPr>
      <w:r w:rsidRPr="005411F6">
        <w:rPr>
          <w:lang w:val="en-US"/>
        </w:rPr>
        <w:t>Noll,</w:t>
      </w:r>
      <w:r>
        <w:rPr>
          <w:lang w:val="en-US"/>
        </w:rPr>
        <w:t xml:space="preserve"> </w:t>
      </w:r>
      <w:r w:rsidRPr="005411F6">
        <w:rPr>
          <w:lang w:val="en-US"/>
        </w:rPr>
        <w:t xml:space="preserve">Mark A. </w:t>
      </w:r>
      <w:r w:rsidRPr="009B3C6D">
        <w:rPr>
          <w:i/>
          <w:iCs/>
          <w:lang w:val="en-US"/>
        </w:rPr>
        <w:t xml:space="preserve">The Rise of Evangelicalism: The Age of Edwards, Whitefield and the </w:t>
      </w:r>
      <w:proofErr w:type="spellStart"/>
      <w:r w:rsidRPr="009B3C6D">
        <w:rPr>
          <w:i/>
          <w:iCs/>
          <w:lang w:val="en-US"/>
        </w:rPr>
        <w:t>Wesleys</w:t>
      </w:r>
      <w:proofErr w:type="spellEnd"/>
      <w:r>
        <w:rPr>
          <w:i/>
          <w:iCs/>
          <w:lang w:val="en-US"/>
        </w:rPr>
        <w:t>.</w:t>
      </w:r>
      <w:r w:rsidRPr="005411F6">
        <w:rPr>
          <w:lang w:val="en-US"/>
        </w:rPr>
        <w:t xml:space="preserve"> Leicester: IVP, 2004.</w:t>
      </w:r>
    </w:p>
    <w:p w:rsidR="000337AB" w:rsidRPr="008E6A08" w:rsidRDefault="000337AB" w:rsidP="009F51F7">
      <w:pPr>
        <w:rPr>
          <w:lang w:val="en-US"/>
        </w:rPr>
      </w:pPr>
      <w:r>
        <w:rPr>
          <w:lang w:val="en-US"/>
        </w:rPr>
        <w:t xml:space="preserve">Stott, John. </w:t>
      </w:r>
      <w:r w:rsidRPr="00031CE1">
        <w:rPr>
          <w:i/>
          <w:iCs/>
          <w:lang w:val="en-US"/>
        </w:rPr>
        <w:t>Evangelical Truth: A Personal Plea for Unity</w:t>
      </w:r>
      <w:r>
        <w:rPr>
          <w:i/>
          <w:iCs/>
          <w:lang w:val="en-US"/>
        </w:rPr>
        <w:t>.</w:t>
      </w:r>
      <w:r>
        <w:rPr>
          <w:lang w:val="en-US"/>
        </w:rPr>
        <w:t xml:space="preserve"> Leicester: IVP, 1999.</w:t>
      </w:r>
    </w:p>
    <w:p w:rsidR="000337AB" w:rsidRPr="005411F6" w:rsidRDefault="000337AB" w:rsidP="005411F6">
      <w:pPr>
        <w:rPr>
          <w:lang w:val="en-US"/>
        </w:rPr>
      </w:pPr>
      <w:r w:rsidRPr="005411F6">
        <w:rPr>
          <w:lang w:val="en-US"/>
        </w:rPr>
        <w:t>Taylor,</w:t>
      </w:r>
      <w:r>
        <w:rPr>
          <w:lang w:val="en-US"/>
        </w:rPr>
        <w:t xml:space="preserve"> </w:t>
      </w:r>
      <w:r w:rsidRPr="005411F6">
        <w:rPr>
          <w:lang w:val="en-US"/>
        </w:rPr>
        <w:t>Charles</w:t>
      </w:r>
      <w:r>
        <w:rPr>
          <w:lang w:val="en-US"/>
        </w:rPr>
        <w:t>.</w:t>
      </w:r>
      <w:r w:rsidRPr="005411F6">
        <w:rPr>
          <w:lang w:val="en-US"/>
        </w:rPr>
        <w:t xml:space="preserve"> </w:t>
      </w:r>
      <w:proofErr w:type="gramStart"/>
      <w:r w:rsidRPr="005411F6">
        <w:rPr>
          <w:i/>
          <w:iCs/>
          <w:lang w:val="en-US"/>
        </w:rPr>
        <w:t>A Secular Age</w:t>
      </w:r>
      <w:r>
        <w:rPr>
          <w:i/>
          <w:iCs/>
          <w:lang w:val="en-US"/>
        </w:rPr>
        <w:t>.</w:t>
      </w:r>
      <w:proofErr w:type="gramEnd"/>
      <w:r w:rsidRPr="005411F6">
        <w:rPr>
          <w:lang w:val="en-US"/>
        </w:rPr>
        <w:t xml:space="preserve"> Cambridge: Harvard University Press, 2007</w:t>
      </w:r>
      <w:r>
        <w:rPr>
          <w:lang w:val="en-US"/>
        </w:rPr>
        <w:t>.</w:t>
      </w:r>
    </w:p>
    <w:p w:rsidR="000337AB" w:rsidRPr="005411F6" w:rsidRDefault="000337AB" w:rsidP="005411F6">
      <w:pPr>
        <w:ind w:left="720" w:hanging="720"/>
        <w:rPr>
          <w:lang w:val="en-US"/>
        </w:rPr>
      </w:pPr>
      <w:r w:rsidRPr="005411F6">
        <w:rPr>
          <w:i/>
          <w:iCs/>
          <w:lang w:val="en-US"/>
        </w:rPr>
        <w:t>The Cape Town Commitment: A Confession of Faith and a Call to Action</w:t>
      </w:r>
      <w:r>
        <w:rPr>
          <w:i/>
          <w:iCs/>
          <w:lang w:val="en-US"/>
        </w:rPr>
        <w:t>.</w:t>
      </w:r>
      <w:r w:rsidRPr="005411F6">
        <w:rPr>
          <w:lang w:val="en-US"/>
        </w:rPr>
        <w:t xml:space="preserve"> </w:t>
      </w:r>
      <w:proofErr w:type="gramStart"/>
      <w:r>
        <w:rPr>
          <w:lang w:val="en-US"/>
        </w:rPr>
        <w:t xml:space="preserve">The </w:t>
      </w:r>
      <w:proofErr w:type="spellStart"/>
      <w:r>
        <w:rPr>
          <w:lang w:val="en-US"/>
        </w:rPr>
        <w:t>Didasko</w:t>
      </w:r>
      <w:proofErr w:type="spellEnd"/>
      <w:r>
        <w:rPr>
          <w:lang w:val="en-US"/>
        </w:rPr>
        <w:t xml:space="preserve"> Files.</w:t>
      </w:r>
      <w:proofErr w:type="gramEnd"/>
      <w:r w:rsidRPr="005411F6">
        <w:rPr>
          <w:lang w:val="en-US"/>
        </w:rPr>
        <w:t xml:space="preserve"> </w:t>
      </w:r>
      <w:proofErr w:type="spellStart"/>
      <w:r w:rsidRPr="005411F6">
        <w:rPr>
          <w:lang w:val="en-US"/>
        </w:rPr>
        <w:t>Bodmin</w:t>
      </w:r>
      <w:proofErr w:type="spellEnd"/>
      <w:r w:rsidRPr="005411F6">
        <w:rPr>
          <w:lang w:val="en-US"/>
        </w:rPr>
        <w:t>, UK: Lausanne Movement, 2011.</w:t>
      </w:r>
    </w:p>
    <w:p w:rsidR="000337AB" w:rsidRDefault="000337AB" w:rsidP="009B3C6D">
      <w:pPr>
        <w:ind w:left="720" w:hanging="720"/>
        <w:rPr>
          <w:lang w:val="en-US"/>
        </w:rPr>
      </w:pPr>
      <w:r w:rsidRPr="009B3C6D">
        <w:rPr>
          <w:lang w:val="de-DE"/>
        </w:rPr>
        <w:t xml:space="preserve">Vassiliadis, Petros, Eleni Kasseluri, Pantelis Kalaitzidis. </w:t>
      </w:r>
      <w:proofErr w:type="gramStart"/>
      <w:r w:rsidRPr="005411F6">
        <w:rPr>
          <w:lang w:val="en-US"/>
        </w:rPr>
        <w:t>“Theological Education in the Orthodox World</w:t>
      </w:r>
      <w:r>
        <w:rPr>
          <w:lang w:val="en-US"/>
        </w:rPr>
        <w:t>.</w:t>
      </w:r>
      <w:r w:rsidRPr="005411F6">
        <w:rPr>
          <w:lang w:val="en-US"/>
        </w:rPr>
        <w:t>”</w:t>
      </w:r>
      <w:proofErr w:type="gramEnd"/>
      <w:r>
        <w:rPr>
          <w:lang w:val="en-US"/>
        </w:rPr>
        <w:t xml:space="preserve"> Pages 603-622</w:t>
      </w:r>
      <w:r w:rsidRPr="005411F6">
        <w:rPr>
          <w:lang w:val="en-US"/>
        </w:rPr>
        <w:t xml:space="preserve"> in </w:t>
      </w:r>
      <w:r w:rsidRPr="005411F6">
        <w:rPr>
          <w:i/>
          <w:iCs/>
          <w:lang w:val="en-US"/>
        </w:rPr>
        <w:t xml:space="preserve">Handbook of Theological Education in World Christianity: Theological Perspectives, Ecumenical Trends, </w:t>
      </w:r>
      <w:proofErr w:type="gramStart"/>
      <w:r w:rsidRPr="005411F6">
        <w:rPr>
          <w:i/>
          <w:iCs/>
          <w:lang w:val="en-US"/>
        </w:rPr>
        <w:t>Regional</w:t>
      </w:r>
      <w:proofErr w:type="gramEnd"/>
      <w:r w:rsidRPr="005411F6">
        <w:rPr>
          <w:i/>
          <w:iCs/>
          <w:lang w:val="en-US"/>
        </w:rPr>
        <w:t xml:space="preserve"> Surveys</w:t>
      </w:r>
      <w:r>
        <w:rPr>
          <w:i/>
          <w:iCs/>
          <w:lang w:val="en-US"/>
        </w:rPr>
        <w:t>.</w:t>
      </w:r>
      <w:r w:rsidRPr="005411F6">
        <w:rPr>
          <w:lang w:val="en-US"/>
        </w:rPr>
        <w:t xml:space="preserve"> </w:t>
      </w:r>
      <w:proofErr w:type="gramStart"/>
      <w:r>
        <w:rPr>
          <w:lang w:val="en-US"/>
        </w:rPr>
        <w:t xml:space="preserve">Edited by </w:t>
      </w:r>
      <w:r w:rsidRPr="005411F6">
        <w:rPr>
          <w:lang w:val="en-US"/>
        </w:rPr>
        <w:t>Dietrich Werner et al. Oxford: Regnum, 2010</w:t>
      </w:r>
      <w:r>
        <w:rPr>
          <w:lang w:val="en-US"/>
        </w:rPr>
        <w:t>.</w:t>
      </w:r>
      <w:proofErr w:type="gramEnd"/>
    </w:p>
    <w:p w:rsidR="00F60184" w:rsidRPr="0053261C" w:rsidRDefault="00F60184" w:rsidP="00F60184">
      <w:pPr>
        <w:ind w:left="720" w:hanging="720"/>
        <w:rPr>
          <w:lang w:val="en-US"/>
        </w:rPr>
      </w:pPr>
      <w:r>
        <w:rPr>
          <w:lang w:val="en-US"/>
        </w:rPr>
        <w:t>Wright, Chris. “A 21</w:t>
      </w:r>
      <w:r w:rsidRPr="0098431E">
        <w:rPr>
          <w:vertAlign w:val="superscript"/>
          <w:lang w:val="en-US"/>
        </w:rPr>
        <w:t>st</w:t>
      </w:r>
      <w:r>
        <w:rPr>
          <w:lang w:val="en-US"/>
        </w:rPr>
        <w:t xml:space="preserve"> Century Reformation? Report on the Theology Working Group.” No pagination. </w:t>
      </w:r>
      <w:proofErr w:type="gramStart"/>
      <w:r>
        <w:rPr>
          <w:lang w:val="en-US"/>
        </w:rPr>
        <w:t>Cited 11 November 2012.</w:t>
      </w:r>
      <w:proofErr w:type="gramEnd"/>
      <w:r>
        <w:rPr>
          <w:lang w:val="en-US"/>
        </w:rPr>
        <w:t xml:space="preserve"> </w:t>
      </w:r>
      <w:r w:rsidRPr="0053261C">
        <w:rPr>
          <w:lang w:val="en-US"/>
        </w:rPr>
        <w:t xml:space="preserve">Online: </w:t>
      </w:r>
      <w:r w:rsidRPr="0053261C">
        <w:rPr>
          <w:lang w:val="en-US"/>
        </w:rPr>
        <w:lastRenderedPageBreak/>
        <w:t>http://www.lausanne.org/en/documents/all/twg/168-a-21st-century-reformation.html.</w:t>
      </w:r>
    </w:p>
    <w:sectPr w:rsidR="00F60184" w:rsidRPr="0053261C" w:rsidSect="00BD407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E73" w:rsidRDefault="00AA0E73" w:rsidP="00A97BDF">
      <w:pPr>
        <w:spacing w:after="0" w:line="240" w:lineRule="auto"/>
      </w:pPr>
      <w:r>
        <w:separator/>
      </w:r>
    </w:p>
  </w:endnote>
  <w:endnote w:type="continuationSeparator" w:id="0">
    <w:p w:rsidR="00AA0E73" w:rsidRDefault="00AA0E73" w:rsidP="00A9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rdo">
    <w:panose1 w:val="02020600000000000000"/>
    <w:charset w:val="00"/>
    <w:family w:val="roman"/>
    <w:pitch w:val="variable"/>
    <w:sig w:usb0="E40008FF" w:usb1="5201E0FB" w:usb2="00008000" w:usb3="00000000" w:csb0="000000BB"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E73" w:rsidRDefault="00AA0E73" w:rsidP="00A97BDF">
      <w:pPr>
        <w:spacing w:after="0" w:line="240" w:lineRule="auto"/>
      </w:pPr>
      <w:r>
        <w:separator/>
      </w:r>
    </w:p>
  </w:footnote>
  <w:footnote w:type="continuationSeparator" w:id="0">
    <w:p w:rsidR="00AA0E73" w:rsidRDefault="00AA0E73" w:rsidP="00A97BDF">
      <w:pPr>
        <w:spacing w:after="0" w:line="240" w:lineRule="auto"/>
      </w:pPr>
      <w:r>
        <w:continuationSeparator/>
      </w:r>
    </w:p>
  </w:footnote>
  <w:footnote w:id="1">
    <w:p w:rsidR="001835CC" w:rsidRPr="001835CC" w:rsidRDefault="001835CC" w:rsidP="001F049D">
      <w:pPr>
        <w:pStyle w:val="FootnoteText"/>
        <w:jc w:val="both"/>
        <w:rPr>
          <w:lang w:val="en-US"/>
        </w:rPr>
      </w:pPr>
      <w:r>
        <w:rPr>
          <w:rStyle w:val="FootnoteReference"/>
        </w:rPr>
        <w:footnoteRef/>
      </w:r>
      <w:r w:rsidRPr="001835CC">
        <w:rPr>
          <w:lang w:val="en-US"/>
        </w:rPr>
        <w:t xml:space="preserve"> </w:t>
      </w:r>
      <w:r>
        <w:rPr>
          <w:lang w:val="en-US"/>
        </w:rPr>
        <w:t>While I focus on the prophetic paradigm for theological education, I do not claim that it is by any means exhaustive or the only lens through which one could view theological education. Wisdom literature, for example, may be used to supplement my s</w:t>
      </w:r>
      <w:r w:rsidR="009B4136">
        <w:rPr>
          <w:lang w:val="en-US"/>
        </w:rPr>
        <w:t>uggestions, but this would be outside the scope of this article.</w:t>
      </w:r>
      <w:r>
        <w:rPr>
          <w:lang w:val="en-US"/>
        </w:rPr>
        <w:t xml:space="preserve"> </w:t>
      </w:r>
    </w:p>
  </w:footnote>
  <w:footnote w:id="2">
    <w:p w:rsidR="00865DCB" w:rsidRPr="00865DCB" w:rsidRDefault="00865DCB" w:rsidP="001F049D">
      <w:pPr>
        <w:pStyle w:val="FootnoteText"/>
        <w:jc w:val="both"/>
        <w:rPr>
          <w:lang w:val="en-US"/>
        </w:rPr>
      </w:pPr>
      <w:r>
        <w:rPr>
          <w:rStyle w:val="FootnoteReference"/>
        </w:rPr>
        <w:footnoteRef/>
      </w:r>
      <w:r w:rsidRPr="00865DCB">
        <w:rPr>
          <w:lang w:val="en-US"/>
        </w:rPr>
        <w:t xml:space="preserve"> </w:t>
      </w:r>
      <w:r>
        <w:rPr>
          <w:lang w:val="en-US"/>
        </w:rPr>
        <w:t xml:space="preserve">Joseph P. Healey, “Fertility Cults,” </w:t>
      </w:r>
      <w:r w:rsidRPr="00865DCB">
        <w:rPr>
          <w:i/>
          <w:iCs/>
          <w:lang w:val="en-US"/>
        </w:rPr>
        <w:t>ABD</w:t>
      </w:r>
      <w:r>
        <w:rPr>
          <w:lang w:val="en-US"/>
        </w:rPr>
        <w:t xml:space="preserve"> 2:792.</w:t>
      </w:r>
    </w:p>
  </w:footnote>
  <w:footnote w:id="3">
    <w:p w:rsidR="0056736B" w:rsidRPr="0056736B" w:rsidRDefault="0056736B" w:rsidP="001F049D">
      <w:pPr>
        <w:pStyle w:val="FootnoteText"/>
        <w:jc w:val="both"/>
        <w:rPr>
          <w:lang w:val="en-US"/>
        </w:rPr>
      </w:pPr>
      <w:r>
        <w:rPr>
          <w:rStyle w:val="FootnoteReference"/>
        </w:rPr>
        <w:footnoteRef/>
      </w:r>
      <w:r w:rsidRPr="0056736B">
        <w:rPr>
          <w:lang w:val="en-US"/>
        </w:rPr>
        <w:t xml:space="preserve"> </w:t>
      </w:r>
      <w:r>
        <w:rPr>
          <w:lang w:val="en-US"/>
        </w:rPr>
        <w:t xml:space="preserve">Charles Taylor, </w:t>
      </w:r>
      <w:r w:rsidRPr="00FE22E1">
        <w:rPr>
          <w:i/>
          <w:iCs/>
          <w:lang w:val="en-US"/>
        </w:rPr>
        <w:t>A Secular Age</w:t>
      </w:r>
      <w:r>
        <w:rPr>
          <w:lang w:val="en-US"/>
        </w:rPr>
        <w:t xml:space="preserve"> (Cambridge: Harvard University Press, </w:t>
      </w:r>
      <w:r w:rsidR="00FE22E1">
        <w:rPr>
          <w:lang w:val="en-US"/>
        </w:rPr>
        <w:t>2007</w:t>
      </w:r>
      <w:r>
        <w:rPr>
          <w:lang w:val="en-US"/>
        </w:rPr>
        <w:t>), 18.</w:t>
      </w:r>
    </w:p>
  </w:footnote>
  <w:footnote w:id="4">
    <w:p w:rsidR="00B17791" w:rsidRPr="00B17791" w:rsidRDefault="00B17791" w:rsidP="001F049D">
      <w:pPr>
        <w:pStyle w:val="FootnoteText"/>
        <w:jc w:val="both"/>
        <w:rPr>
          <w:lang w:val="en-US"/>
        </w:rPr>
      </w:pPr>
      <w:r>
        <w:rPr>
          <w:rStyle w:val="FootnoteReference"/>
        </w:rPr>
        <w:footnoteRef/>
      </w:r>
      <w:r w:rsidRPr="00B17791">
        <w:rPr>
          <w:lang w:val="en-US"/>
        </w:rPr>
        <w:t xml:space="preserve"> </w:t>
      </w:r>
      <w:r>
        <w:rPr>
          <w:lang w:val="en-US"/>
        </w:rPr>
        <w:t xml:space="preserve">Taylor, </w:t>
      </w:r>
      <w:proofErr w:type="gramStart"/>
      <w:r w:rsidRPr="00B17791">
        <w:rPr>
          <w:i/>
          <w:iCs/>
          <w:lang w:val="en-US"/>
        </w:rPr>
        <w:t>A</w:t>
      </w:r>
      <w:proofErr w:type="gramEnd"/>
      <w:r w:rsidRPr="00B17791">
        <w:rPr>
          <w:i/>
          <w:iCs/>
          <w:lang w:val="en-US"/>
        </w:rPr>
        <w:t xml:space="preserve"> Secular Age</w:t>
      </w:r>
      <w:r>
        <w:rPr>
          <w:lang w:val="en-US"/>
        </w:rPr>
        <w:t>, 18.</w:t>
      </w:r>
    </w:p>
  </w:footnote>
  <w:footnote w:id="5">
    <w:p w:rsidR="005C4371" w:rsidRPr="005C4371" w:rsidRDefault="005C4371" w:rsidP="001F049D">
      <w:pPr>
        <w:pStyle w:val="FootnoteText"/>
        <w:jc w:val="both"/>
        <w:rPr>
          <w:lang w:val="en-US"/>
        </w:rPr>
      </w:pPr>
      <w:r>
        <w:rPr>
          <w:rStyle w:val="FootnoteReference"/>
        </w:rPr>
        <w:footnoteRef/>
      </w:r>
      <w:r w:rsidRPr="005C4371">
        <w:rPr>
          <w:lang w:val="en-US"/>
        </w:rPr>
        <w:t xml:space="preserve"> </w:t>
      </w:r>
      <w:r w:rsidRPr="005C4371">
        <w:rPr>
          <w:i/>
          <w:iCs/>
          <w:lang w:val="en-US"/>
        </w:rPr>
        <w:t>The Cape Town Commitment: A Confession of Faith and a Call to Action</w:t>
      </w:r>
      <w:r>
        <w:rPr>
          <w:lang w:val="en-US"/>
        </w:rPr>
        <w:t xml:space="preserve"> (The </w:t>
      </w:r>
      <w:proofErr w:type="spellStart"/>
      <w:r>
        <w:rPr>
          <w:lang w:val="en-US"/>
        </w:rPr>
        <w:t>Didasko</w:t>
      </w:r>
      <w:proofErr w:type="spellEnd"/>
      <w:r>
        <w:rPr>
          <w:lang w:val="en-US"/>
        </w:rPr>
        <w:t xml:space="preserve"> Files; </w:t>
      </w:r>
      <w:proofErr w:type="spellStart"/>
      <w:r>
        <w:rPr>
          <w:lang w:val="en-US"/>
        </w:rPr>
        <w:t>Bodmin</w:t>
      </w:r>
      <w:proofErr w:type="spellEnd"/>
      <w:r>
        <w:rPr>
          <w:lang w:val="en-US"/>
        </w:rPr>
        <w:t>, UK: Lausanne Movement, 2011), 11.</w:t>
      </w:r>
    </w:p>
  </w:footnote>
  <w:footnote w:id="6">
    <w:p w:rsidR="00A97BDF" w:rsidRPr="00A97BDF" w:rsidRDefault="00A97BDF" w:rsidP="001F049D">
      <w:pPr>
        <w:pStyle w:val="FootnoteText"/>
        <w:jc w:val="both"/>
        <w:rPr>
          <w:lang w:val="en-US"/>
        </w:rPr>
      </w:pPr>
      <w:r>
        <w:rPr>
          <w:rStyle w:val="FootnoteReference"/>
        </w:rPr>
        <w:footnoteRef/>
      </w:r>
      <w:r w:rsidRPr="0084590B">
        <w:rPr>
          <w:lang w:val="en-US"/>
        </w:rPr>
        <w:t xml:space="preserve"> </w:t>
      </w:r>
      <w:proofErr w:type="spellStart"/>
      <w:r>
        <w:rPr>
          <w:lang w:val="en-US"/>
        </w:rPr>
        <w:t>Elewani</w:t>
      </w:r>
      <w:proofErr w:type="spellEnd"/>
      <w:r>
        <w:rPr>
          <w:lang w:val="en-US"/>
        </w:rPr>
        <w:t xml:space="preserve"> </w:t>
      </w:r>
      <w:proofErr w:type="spellStart"/>
      <w:r>
        <w:rPr>
          <w:lang w:val="en-US"/>
        </w:rPr>
        <w:t>Farisani</w:t>
      </w:r>
      <w:proofErr w:type="spellEnd"/>
      <w:r w:rsidR="0084590B">
        <w:rPr>
          <w:lang w:val="en-US"/>
        </w:rPr>
        <w:t xml:space="preserve">, “Impact on New Policy Developments in Higher Education on Theological Education,” </w:t>
      </w:r>
      <w:proofErr w:type="spellStart"/>
      <w:r w:rsidR="0084590B" w:rsidRPr="0084590B">
        <w:rPr>
          <w:i/>
          <w:iCs/>
          <w:lang w:val="en-US"/>
        </w:rPr>
        <w:t>Studia</w:t>
      </w:r>
      <w:proofErr w:type="spellEnd"/>
      <w:r w:rsidR="0084590B" w:rsidRPr="0084590B">
        <w:rPr>
          <w:i/>
          <w:iCs/>
          <w:lang w:val="en-US"/>
        </w:rPr>
        <w:t xml:space="preserve"> </w:t>
      </w:r>
      <w:proofErr w:type="spellStart"/>
      <w:r w:rsidR="0084590B" w:rsidRPr="0084590B">
        <w:rPr>
          <w:i/>
          <w:iCs/>
          <w:lang w:val="en-US"/>
        </w:rPr>
        <w:t>Historiae</w:t>
      </w:r>
      <w:proofErr w:type="spellEnd"/>
      <w:r w:rsidR="0084590B" w:rsidRPr="0084590B">
        <w:rPr>
          <w:i/>
          <w:iCs/>
          <w:lang w:val="en-US"/>
        </w:rPr>
        <w:t xml:space="preserve"> </w:t>
      </w:r>
      <w:proofErr w:type="spellStart"/>
      <w:r w:rsidR="0084590B" w:rsidRPr="0084590B">
        <w:rPr>
          <w:i/>
          <w:iCs/>
          <w:lang w:val="en-US"/>
        </w:rPr>
        <w:t>Ecclesiasticae</w:t>
      </w:r>
      <w:proofErr w:type="spellEnd"/>
      <w:r w:rsidR="0084590B">
        <w:rPr>
          <w:lang w:val="en-US"/>
        </w:rPr>
        <w:t xml:space="preserve"> 36 (July 2010): 291.</w:t>
      </w:r>
    </w:p>
  </w:footnote>
  <w:footnote w:id="7">
    <w:p w:rsidR="00AA1771" w:rsidRPr="00AA1771" w:rsidRDefault="00AA1771" w:rsidP="001F049D">
      <w:pPr>
        <w:pStyle w:val="FootnoteText"/>
        <w:jc w:val="both"/>
        <w:rPr>
          <w:lang w:val="en-US"/>
        </w:rPr>
      </w:pPr>
      <w:r>
        <w:rPr>
          <w:rStyle w:val="FootnoteReference"/>
        </w:rPr>
        <w:footnoteRef/>
      </w:r>
      <w:r w:rsidRPr="00AA1771">
        <w:rPr>
          <w:lang w:val="en-US"/>
        </w:rPr>
        <w:t xml:space="preserve"> </w:t>
      </w:r>
      <w:r>
        <w:rPr>
          <w:lang w:val="en-US"/>
        </w:rPr>
        <w:t xml:space="preserve">See </w:t>
      </w:r>
      <w:proofErr w:type="spellStart"/>
      <w:r>
        <w:rPr>
          <w:lang w:val="en-US"/>
        </w:rPr>
        <w:t>Petros</w:t>
      </w:r>
      <w:proofErr w:type="spellEnd"/>
      <w:r>
        <w:rPr>
          <w:lang w:val="en-US"/>
        </w:rPr>
        <w:t xml:space="preserve"> </w:t>
      </w:r>
      <w:proofErr w:type="spellStart"/>
      <w:r>
        <w:rPr>
          <w:lang w:val="en-US"/>
        </w:rPr>
        <w:t>Vassiliadis</w:t>
      </w:r>
      <w:proofErr w:type="spellEnd"/>
      <w:r w:rsidR="00F676DB">
        <w:rPr>
          <w:lang w:val="en-US"/>
        </w:rPr>
        <w:t>’</w:t>
      </w:r>
      <w:r>
        <w:rPr>
          <w:lang w:val="en-US"/>
        </w:rPr>
        <w:t xml:space="preserve"> description of Orthodox theological education, which in my opinion is more prescriptive rather than descriptive, </w:t>
      </w:r>
      <w:proofErr w:type="spellStart"/>
      <w:r>
        <w:rPr>
          <w:lang w:val="en-US"/>
        </w:rPr>
        <w:t>Petros</w:t>
      </w:r>
      <w:proofErr w:type="spellEnd"/>
      <w:r>
        <w:rPr>
          <w:lang w:val="en-US"/>
        </w:rPr>
        <w:t xml:space="preserve"> </w:t>
      </w:r>
      <w:proofErr w:type="spellStart"/>
      <w:r>
        <w:rPr>
          <w:lang w:val="en-US"/>
        </w:rPr>
        <w:t>Vassiliadis</w:t>
      </w:r>
      <w:proofErr w:type="spellEnd"/>
      <w:r>
        <w:rPr>
          <w:lang w:val="en-US"/>
        </w:rPr>
        <w:t xml:space="preserve">, </w:t>
      </w:r>
      <w:proofErr w:type="spellStart"/>
      <w:r>
        <w:rPr>
          <w:lang w:val="en-US"/>
        </w:rPr>
        <w:t>Eleni</w:t>
      </w:r>
      <w:proofErr w:type="spellEnd"/>
      <w:r>
        <w:rPr>
          <w:lang w:val="en-US"/>
        </w:rPr>
        <w:t xml:space="preserve"> </w:t>
      </w:r>
      <w:proofErr w:type="spellStart"/>
      <w:r>
        <w:rPr>
          <w:lang w:val="en-US"/>
        </w:rPr>
        <w:t>Kasseluri</w:t>
      </w:r>
      <w:proofErr w:type="spellEnd"/>
      <w:r>
        <w:rPr>
          <w:lang w:val="en-US"/>
        </w:rPr>
        <w:t xml:space="preserve"> and </w:t>
      </w:r>
      <w:proofErr w:type="spellStart"/>
      <w:r>
        <w:rPr>
          <w:lang w:val="en-US"/>
        </w:rPr>
        <w:t>Pantelis</w:t>
      </w:r>
      <w:proofErr w:type="spellEnd"/>
      <w:r>
        <w:rPr>
          <w:lang w:val="en-US"/>
        </w:rPr>
        <w:t xml:space="preserve"> </w:t>
      </w:r>
      <w:proofErr w:type="spellStart"/>
      <w:r>
        <w:rPr>
          <w:lang w:val="en-US"/>
        </w:rPr>
        <w:t>Kalaitzidis</w:t>
      </w:r>
      <w:proofErr w:type="spellEnd"/>
      <w:r>
        <w:rPr>
          <w:lang w:val="en-US"/>
        </w:rPr>
        <w:t xml:space="preserve">, “Theological Education in the Orthodox World,” in </w:t>
      </w:r>
      <w:r w:rsidRPr="00AA1771">
        <w:rPr>
          <w:i/>
          <w:iCs/>
          <w:lang w:val="en-US"/>
        </w:rPr>
        <w:t>Handbook of Theological Education in World Christianity: Theological Perspectives, Ecumenical Trends, Regional Surveys</w:t>
      </w:r>
      <w:r>
        <w:rPr>
          <w:lang w:val="en-US"/>
        </w:rPr>
        <w:t xml:space="preserve"> (eds., Dietrich Werner et al.; Oxford: Regnum, 2010), 603-622.</w:t>
      </w:r>
    </w:p>
  </w:footnote>
  <w:footnote w:id="8">
    <w:p w:rsidR="006C6381" w:rsidRPr="006C6381" w:rsidRDefault="006C6381" w:rsidP="001F049D">
      <w:pPr>
        <w:spacing w:after="0" w:line="240" w:lineRule="auto"/>
        <w:jc w:val="both"/>
        <w:rPr>
          <w:lang w:val="en-US"/>
        </w:rPr>
      </w:pPr>
      <w:r w:rsidRPr="004075E9">
        <w:rPr>
          <w:rStyle w:val="FootnoteReference"/>
          <w:sz w:val="20"/>
          <w:szCs w:val="18"/>
        </w:rPr>
        <w:footnoteRef/>
      </w:r>
      <w:r w:rsidRPr="004075E9">
        <w:rPr>
          <w:sz w:val="20"/>
          <w:szCs w:val="18"/>
          <w:lang w:val="en-US"/>
        </w:rPr>
        <w:t xml:space="preserve"> Richard S. Briggs, “The Bible Before Us: Evangelical Possibilities for Taking Scripture Seriously</w:t>
      </w:r>
      <w:r w:rsidR="004075E9" w:rsidRPr="004075E9">
        <w:rPr>
          <w:sz w:val="20"/>
          <w:szCs w:val="18"/>
          <w:lang w:val="en-US"/>
        </w:rPr>
        <w:t>,</w:t>
      </w:r>
      <w:r w:rsidRPr="004075E9">
        <w:rPr>
          <w:sz w:val="20"/>
          <w:szCs w:val="18"/>
          <w:lang w:val="en-US"/>
        </w:rPr>
        <w:t>”</w:t>
      </w:r>
      <w:r w:rsidR="004075E9" w:rsidRPr="004075E9">
        <w:rPr>
          <w:sz w:val="20"/>
          <w:szCs w:val="18"/>
          <w:lang w:val="en-US"/>
        </w:rPr>
        <w:t xml:space="preserve"> in </w:t>
      </w:r>
      <w:r w:rsidR="004075E9" w:rsidRPr="004075E9">
        <w:rPr>
          <w:i/>
          <w:iCs/>
          <w:sz w:val="20"/>
          <w:szCs w:val="18"/>
          <w:lang w:val="en-US"/>
        </w:rPr>
        <w:t>New Perspectives for Evangelical Theology: Engaging with God, Scripture and the World</w:t>
      </w:r>
      <w:r w:rsidR="004075E9" w:rsidRPr="004075E9">
        <w:rPr>
          <w:sz w:val="20"/>
          <w:szCs w:val="18"/>
          <w:lang w:val="en-US"/>
        </w:rPr>
        <w:t xml:space="preserve">. (ed., Tom Greggs; London: </w:t>
      </w:r>
      <w:proofErr w:type="spellStart"/>
      <w:r w:rsidR="004075E9" w:rsidRPr="004075E9">
        <w:rPr>
          <w:sz w:val="20"/>
          <w:szCs w:val="18"/>
          <w:lang w:val="en-US"/>
        </w:rPr>
        <w:t>Routledge</w:t>
      </w:r>
      <w:proofErr w:type="spellEnd"/>
      <w:r w:rsidR="004075E9" w:rsidRPr="004075E9">
        <w:rPr>
          <w:sz w:val="20"/>
          <w:szCs w:val="18"/>
          <w:lang w:val="en-US"/>
        </w:rPr>
        <w:t>, 2010), 14.</w:t>
      </w:r>
    </w:p>
  </w:footnote>
  <w:footnote w:id="9">
    <w:p w:rsidR="0098431E" w:rsidRPr="00125522" w:rsidRDefault="0098431E" w:rsidP="001F049D">
      <w:pPr>
        <w:pStyle w:val="FootnoteText"/>
        <w:jc w:val="both"/>
        <w:rPr>
          <w:lang w:val="de-DE"/>
        </w:rPr>
      </w:pPr>
      <w:r>
        <w:rPr>
          <w:rStyle w:val="FootnoteReference"/>
        </w:rPr>
        <w:footnoteRef/>
      </w:r>
      <w:r w:rsidRPr="0098431E">
        <w:rPr>
          <w:lang w:val="en-US"/>
        </w:rPr>
        <w:t xml:space="preserve"> </w:t>
      </w:r>
      <w:r>
        <w:rPr>
          <w:lang w:val="en-US"/>
        </w:rPr>
        <w:t>“A 21</w:t>
      </w:r>
      <w:r w:rsidRPr="0098431E">
        <w:rPr>
          <w:vertAlign w:val="superscript"/>
          <w:lang w:val="en-US"/>
        </w:rPr>
        <w:t>st</w:t>
      </w:r>
      <w:r>
        <w:rPr>
          <w:lang w:val="en-US"/>
        </w:rPr>
        <w:t xml:space="preserve"> Century Reformation? Report on the Theology Working Group,”</w:t>
      </w:r>
      <w:r w:rsidR="00125522">
        <w:rPr>
          <w:lang w:val="en-US"/>
        </w:rPr>
        <w:t xml:space="preserve"> </w:t>
      </w:r>
      <w:proofErr w:type="spellStart"/>
      <w:proofErr w:type="gramStart"/>
      <w:r w:rsidR="00125522">
        <w:rPr>
          <w:lang w:val="en-US"/>
        </w:rPr>
        <w:t>n.p</w:t>
      </w:r>
      <w:proofErr w:type="spellEnd"/>
      <w:proofErr w:type="gramEnd"/>
      <w:r w:rsidR="00125522">
        <w:rPr>
          <w:lang w:val="en-US"/>
        </w:rPr>
        <w:t>.</w:t>
      </w:r>
      <w:r>
        <w:rPr>
          <w:lang w:val="en-US"/>
        </w:rPr>
        <w:t xml:space="preserve"> </w:t>
      </w:r>
      <w:r w:rsidR="00125522">
        <w:rPr>
          <w:lang w:val="en-US"/>
        </w:rPr>
        <w:t>[c</w:t>
      </w:r>
      <w:r>
        <w:rPr>
          <w:lang w:val="en-US"/>
        </w:rPr>
        <w:t xml:space="preserve">ited </w:t>
      </w:r>
      <w:r w:rsidR="00125522">
        <w:rPr>
          <w:lang w:val="en-US"/>
        </w:rPr>
        <w:t>11</w:t>
      </w:r>
      <w:r>
        <w:rPr>
          <w:lang w:val="en-US"/>
        </w:rPr>
        <w:t xml:space="preserve"> November 2012</w:t>
      </w:r>
      <w:r w:rsidR="00125522">
        <w:rPr>
          <w:lang w:val="en-US"/>
        </w:rPr>
        <w:t>].</w:t>
      </w:r>
      <w:r>
        <w:rPr>
          <w:lang w:val="en-US"/>
        </w:rPr>
        <w:t xml:space="preserve"> </w:t>
      </w:r>
      <w:r w:rsidR="00125522" w:rsidRPr="00125522">
        <w:rPr>
          <w:lang w:val="de-DE"/>
        </w:rPr>
        <w:t>O</w:t>
      </w:r>
      <w:r w:rsidRPr="00125522">
        <w:rPr>
          <w:lang w:val="de-DE"/>
        </w:rPr>
        <w:t>nline: http://www.lausanne.org/en/documents/all/twg/168-a-21st-century-reformation.html.</w:t>
      </w:r>
    </w:p>
  </w:footnote>
  <w:footnote w:id="10">
    <w:p w:rsidR="00625189" w:rsidRPr="002872CD" w:rsidRDefault="00625189" w:rsidP="001F049D">
      <w:pPr>
        <w:pStyle w:val="FootnoteText"/>
        <w:jc w:val="both"/>
        <w:rPr>
          <w:lang w:val="en-US"/>
        </w:rPr>
      </w:pPr>
      <w:r>
        <w:rPr>
          <w:rStyle w:val="FootnoteReference"/>
        </w:rPr>
        <w:footnoteRef/>
      </w:r>
      <w:r w:rsidRPr="002872CD">
        <w:rPr>
          <w:lang w:val="en-US"/>
        </w:rPr>
        <w:t xml:space="preserve"> </w:t>
      </w:r>
      <w:r>
        <w:rPr>
          <w:lang w:val="en-US"/>
        </w:rPr>
        <w:t xml:space="preserve">Martin Heidegger, </w:t>
      </w:r>
      <w:r w:rsidRPr="00F676DB">
        <w:rPr>
          <w:i/>
          <w:iCs/>
          <w:lang w:val="en-US"/>
        </w:rPr>
        <w:t>Being and Time</w:t>
      </w:r>
      <w:r>
        <w:rPr>
          <w:lang w:val="en-US"/>
        </w:rPr>
        <w:t xml:space="preserve"> (trans. John </w:t>
      </w:r>
      <w:proofErr w:type="spellStart"/>
      <w:r>
        <w:rPr>
          <w:lang w:val="en-US"/>
        </w:rPr>
        <w:t>Macquarrie</w:t>
      </w:r>
      <w:proofErr w:type="spellEnd"/>
      <w:r>
        <w:rPr>
          <w:lang w:val="en-US"/>
        </w:rPr>
        <w:t xml:space="preserve"> and Edward Robinson</w:t>
      </w:r>
      <w:r w:rsidR="00F676DB">
        <w:rPr>
          <w:lang w:val="en-US"/>
        </w:rPr>
        <w:t xml:space="preserve">; </w:t>
      </w:r>
      <w:proofErr w:type="spellStart"/>
      <w:r w:rsidR="00F676DB">
        <w:rPr>
          <w:lang w:val="en-US"/>
        </w:rPr>
        <w:t>repr</w:t>
      </w:r>
      <w:proofErr w:type="spellEnd"/>
      <w:r w:rsidR="00F676DB">
        <w:rPr>
          <w:lang w:val="en-US"/>
        </w:rPr>
        <w:t>. ed.; New York: Harper, 2008</w:t>
      </w:r>
      <w:r>
        <w:rPr>
          <w:lang w:val="en-US"/>
        </w:rPr>
        <w:t>), 210-214.</w:t>
      </w:r>
    </w:p>
  </w:footnote>
  <w:footnote w:id="11">
    <w:p w:rsidR="00AF5F17" w:rsidRPr="00AF5F17" w:rsidRDefault="00AF5F17" w:rsidP="001F049D">
      <w:pPr>
        <w:pStyle w:val="FootnoteText"/>
        <w:jc w:val="both"/>
        <w:rPr>
          <w:lang w:val="en-US"/>
        </w:rPr>
      </w:pPr>
      <w:r>
        <w:rPr>
          <w:rStyle w:val="FootnoteReference"/>
        </w:rPr>
        <w:footnoteRef/>
      </w:r>
      <w:r w:rsidRPr="00AF5F17">
        <w:rPr>
          <w:lang w:val="en-US"/>
        </w:rPr>
        <w:t xml:space="preserve"> </w:t>
      </w:r>
      <w:r>
        <w:rPr>
          <w:lang w:val="en-US"/>
        </w:rPr>
        <w:t xml:space="preserve">Peter L. Berger, </w:t>
      </w:r>
      <w:proofErr w:type="gramStart"/>
      <w:r w:rsidRPr="00AF5F17">
        <w:rPr>
          <w:i/>
          <w:iCs/>
          <w:lang w:val="en-US"/>
        </w:rPr>
        <w:t>A</w:t>
      </w:r>
      <w:proofErr w:type="gramEnd"/>
      <w:r w:rsidRPr="00AF5F17">
        <w:rPr>
          <w:i/>
          <w:iCs/>
          <w:lang w:val="en-US"/>
        </w:rPr>
        <w:t xml:space="preserve"> Rumor of Angels: Modern Society and the Rediscovery of the Supernatural</w:t>
      </w:r>
      <w:r>
        <w:rPr>
          <w:lang w:val="en-US"/>
        </w:rPr>
        <w:t xml:space="preserve"> (Garden City: Doubleday, 1969), 5-6.</w:t>
      </w:r>
    </w:p>
  </w:footnote>
  <w:footnote w:id="12">
    <w:p w:rsidR="00666DAC" w:rsidRPr="003A6870" w:rsidRDefault="00666DAC" w:rsidP="001F049D">
      <w:pPr>
        <w:pStyle w:val="FootnoteText"/>
        <w:jc w:val="both"/>
        <w:rPr>
          <w:lang w:val="en-US"/>
        </w:rPr>
      </w:pPr>
      <w:r>
        <w:rPr>
          <w:rStyle w:val="FootnoteReference"/>
        </w:rPr>
        <w:footnoteRef/>
      </w:r>
      <w:r w:rsidRPr="003A6870">
        <w:rPr>
          <w:lang w:val="en-US"/>
        </w:rPr>
        <w:t xml:space="preserve"> </w:t>
      </w:r>
      <w:r>
        <w:rPr>
          <w:lang w:val="en-US"/>
        </w:rPr>
        <w:t xml:space="preserve">This is the description used by Mark Noll for </w:t>
      </w:r>
      <w:proofErr w:type="spellStart"/>
      <w:r>
        <w:rPr>
          <w:lang w:val="en-US"/>
        </w:rPr>
        <w:t>Bebbington’s</w:t>
      </w:r>
      <w:proofErr w:type="spellEnd"/>
      <w:r>
        <w:rPr>
          <w:lang w:val="en-US"/>
        </w:rPr>
        <w:t xml:space="preserve"> definition, Mark A. Noll, </w:t>
      </w:r>
      <w:r w:rsidRPr="00F676DB">
        <w:rPr>
          <w:i/>
          <w:iCs/>
          <w:lang w:val="en-US"/>
        </w:rPr>
        <w:t xml:space="preserve">The Rise of Evangelicalism: The Age of Edwards, Whitefield and the </w:t>
      </w:r>
      <w:proofErr w:type="spellStart"/>
      <w:r w:rsidRPr="00F676DB">
        <w:rPr>
          <w:i/>
          <w:iCs/>
          <w:lang w:val="en-US"/>
        </w:rPr>
        <w:t>Wesleys</w:t>
      </w:r>
      <w:proofErr w:type="spellEnd"/>
      <w:r>
        <w:rPr>
          <w:lang w:val="en-US"/>
        </w:rPr>
        <w:t xml:space="preserve"> (Leicester: IVP, 2004), 16.</w:t>
      </w:r>
    </w:p>
  </w:footnote>
  <w:footnote w:id="13">
    <w:p w:rsidR="00666DAC" w:rsidRPr="00CF0C76" w:rsidRDefault="00666DAC" w:rsidP="001F049D">
      <w:pPr>
        <w:pStyle w:val="FootnoteText"/>
        <w:jc w:val="both"/>
        <w:rPr>
          <w:lang w:val="en-US"/>
        </w:rPr>
      </w:pPr>
      <w:r>
        <w:rPr>
          <w:rStyle w:val="FootnoteReference"/>
        </w:rPr>
        <w:footnoteRef/>
      </w:r>
      <w:r w:rsidRPr="00CF0C76">
        <w:rPr>
          <w:lang w:val="en-US"/>
        </w:rPr>
        <w:t xml:space="preserve"> </w:t>
      </w:r>
      <w:r>
        <w:rPr>
          <w:lang w:val="en-US"/>
        </w:rPr>
        <w:t xml:space="preserve">Timothy Larsen, “Defining and Locating Evangelicalism,” in </w:t>
      </w:r>
      <w:proofErr w:type="gramStart"/>
      <w:r w:rsidRPr="00CF0C76">
        <w:rPr>
          <w:i/>
          <w:iCs/>
          <w:lang w:val="en-US"/>
        </w:rPr>
        <w:t>The</w:t>
      </w:r>
      <w:proofErr w:type="gramEnd"/>
      <w:r w:rsidRPr="00CF0C76">
        <w:rPr>
          <w:i/>
          <w:iCs/>
          <w:lang w:val="en-US"/>
        </w:rPr>
        <w:t xml:space="preserve"> Cambridge Companion to Evangelical Theology</w:t>
      </w:r>
      <w:r>
        <w:rPr>
          <w:lang w:val="en-US"/>
        </w:rPr>
        <w:t xml:space="preserve"> (eds., Timothy Larsen and Daniel J. </w:t>
      </w:r>
      <w:proofErr w:type="spellStart"/>
      <w:r>
        <w:rPr>
          <w:lang w:val="en-US"/>
        </w:rPr>
        <w:t>Treier</w:t>
      </w:r>
      <w:proofErr w:type="spellEnd"/>
      <w:r>
        <w:rPr>
          <w:lang w:val="en-US"/>
        </w:rPr>
        <w:t>; Cambridge: CUP, 2007), 1-2.</w:t>
      </w:r>
    </w:p>
  </w:footnote>
  <w:footnote w:id="14">
    <w:p w:rsidR="00666DAC" w:rsidRPr="000B29FE" w:rsidRDefault="00666DAC" w:rsidP="001F049D">
      <w:pPr>
        <w:pStyle w:val="FootnoteText"/>
        <w:jc w:val="both"/>
        <w:rPr>
          <w:lang w:val="en-US"/>
        </w:rPr>
      </w:pPr>
      <w:r>
        <w:rPr>
          <w:rStyle w:val="FootnoteReference"/>
        </w:rPr>
        <w:footnoteRef/>
      </w:r>
      <w:r w:rsidRPr="000B29FE">
        <w:rPr>
          <w:lang w:val="en-US"/>
        </w:rPr>
        <w:t xml:space="preserve"> </w:t>
      </w:r>
      <w:r w:rsidR="006164C2">
        <w:rPr>
          <w:lang w:val="en-US"/>
        </w:rPr>
        <w:t xml:space="preserve">He identifies the following four </w:t>
      </w:r>
      <w:proofErr w:type="spellStart"/>
      <w:r w:rsidR="006164C2">
        <w:rPr>
          <w:lang w:val="en-US"/>
        </w:rPr>
        <w:t>distinctives</w:t>
      </w:r>
      <w:proofErr w:type="spellEnd"/>
      <w:r w:rsidR="006164C2">
        <w:rPr>
          <w:lang w:val="en-US"/>
        </w:rPr>
        <w:t xml:space="preserve">: </w:t>
      </w:r>
      <w:proofErr w:type="spellStart"/>
      <w:r w:rsidR="006164C2" w:rsidRPr="003A6870">
        <w:rPr>
          <w:i/>
          <w:iCs/>
          <w:lang w:val="en-US"/>
        </w:rPr>
        <w:t>conversionism</w:t>
      </w:r>
      <w:proofErr w:type="spellEnd"/>
      <w:r w:rsidR="006164C2">
        <w:rPr>
          <w:lang w:val="en-US"/>
        </w:rPr>
        <w:t xml:space="preserve"> (the belief that lives need to be changed); </w:t>
      </w:r>
      <w:r w:rsidR="006164C2" w:rsidRPr="003A6870">
        <w:rPr>
          <w:i/>
          <w:iCs/>
          <w:lang w:val="en-US"/>
        </w:rPr>
        <w:t>activism</w:t>
      </w:r>
      <w:r w:rsidR="006164C2">
        <w:rPr>
          <w:lang w:val="en-US"/>
        </w:rPr>
        <w:t xml:space="preserve"> (the expression of the gospel in service and mission); </w:t>
      </w:r>
      <w:proofErr w:type="spellStart"/>
      <w:r w:rsidR="006164C2" w:rsidRPr="003A6870">
        <w:rPr>
          <w:i/>
          <w:iCs/>
          <w:lang w:val="en-US"/>
        </w:rPr>
        <w:t>biblicism</w:t>
      </w:r>
      <w:proofErr w:type="spellEnd"/>
      <w:r w:rsidR="006164C2">
        <w:rPr>
          <w:lang w:val="en-US"/>
        </w:rPr>
        <w:t xml:space="preserve"> (the belief that the Bible contains all spiritual truth); and </w:t>
      </w:r>
      <w:proofErr w:type="spellStart"/>
      <w:r w:rsidR="006164C2" w:rsidRPr="003A6870">
        <w:rPr>
          <w:i/>
          <w:iCs/>
          <w:lang w:val="en-US"/>
        </w:rPr>
        <w:t>crucicentrism</w:t>
      </w:r>
      <w:proofErr w:type="spellEnd"/>
      <w:r w:rsidR="006164C2">
        <w:rPr>
          <w:lang w:val="en-US"/>
        </w:rPr>
        <w:t xml:space="preserve"> (a stress on the atoning sacrifice of Christ on the cross), </w:t>
      </w:r>
      <w:r>
        <w:rPr>
          <w:lang w:val="en-US"/>
        </w:rPr>
        <w:t xml:space="preserve">D. W. </w:t>
      </w:r>
      <w:proofErr w:type="spellStart"/>
      <w:r>
        <w:rPr>
          <w:lang w:val="en-US"/>
        </w:rPr>
        <w:t>Bebbington</w:t>
      </w:r>
      <w:proofErr w:type="spellEnd"/>
      <w:r>
        <w:rPr>
          <w:lang w:val="en-US"/>
        </w:rPr>
        <w:t xml:space="preserve">, </w:t>
      </w:r>
      <w:r w:rsidRPr="000B29FE">
        <w:rPr>
          <w:i/>
          <w:iCs/>
          <w:lang w:val="en-US"/>
        </w:rPr>
        <w:t>Evangelicalism in Modern Britain: A History from the 1730s to the 1980s</w:t>
      </w:r>
      <w:r>
        <w:rPr>
          <w:lang w:val="en-US"/>
        </w:rPr>
        <w:t xml:space="preserve"> (Lo</w:t>
      </w:r>
      <w:r w:rsidR="009E380A">
        <w:rPr>
          <w:lang w:val="en-US"/>
        </w:rPr>
        <w:t xml:space="preserve">ndon: </w:t>
      </w:r>
      <w:proofErr w:type="spellStart"/>
      <w:r w:rsidR="009E380A">
        <w:rPr>
          <w:lang w:val="en-US"/>
        </w:rPr>
        <w:t>Unwin</w:t>
      </w:r>
      <w:proofErr w:type="spellEnd"/>
      <w:r w:rsidR="009E380A">
        <w:rPr>
          <w:lang w:val="en-US"/>
        </w:rPr>
        <w:t xml:space="preserve"> Hyman, 1989), 1-17</w:t>
      </w:r>
      <w:r>
        <w:rPr>
          <w:lang w:val="en-US"/>
        </w:rPr>
        <w:t>.</w:t>
      </w:r>
    </w:p>
  </w:footnote>
  <w:footnote w:id="15">
    <w:p w:rsidR="00666DAC" w:rsidRPr="00AE50EA" w:rsidRDefault="00666DAC" w:rsidP="001F049D">
      <w:pPr>
        <w:pStyle w:val="FootnoteText"/>
        <w:jc w:val="both"/>
        <w:rPr>
          <w:lang w:val="en-US"/>
        </w:rPr>
      </w:pPr>
      <w:r>
        <w:rPr>
          <w:rStyle w:val="FootnoteReference"/>
        </w:rPr>
        <w:footnoteRef/>
      </w:r>
      <w:r w:rsidRPr="00AE50EA">
        <w:rPr>
          <w:lang w:val="en-US"/>
        </w:rPr>
        <w:t xml:space="preserve"> </w:t>
      </w:r>
      <w:r w:rsidR="00512A22">
        <w:rPr>
          <w:lang w:val="en-US"/>
        </w:rPr>
        <w:t xml:space="preserve">Larsen attempted to contextualize </w:t>
      </w:r>
      <w:proofErr w:type="spellStart"/>
      <w:r w:rsidR="00512A22">
        <w:rPr>
          <w:lang w:val="en-US"/>
        </w:rPr>
        <w:t>Bebbington’s</w:t>
      </w:r>
      <w:proofErr w:type="spellEnd"/>
      <w:r w:rsidR="00512A22">
        <w:rPr>
          <w:lang w:val="en-US"/>
        </w:rPr>
        <w:t xml:space="preserve"> definition by relating it to the eighteenth-century revival movements associated with John Wesley and George Whitefield</w:t>
      </w:r>
      <w:r w:rsidR="00F676DB">
        <w:rPr>
          <w:lang w:val="en-US"/>
        </w:rPr>
        <w:t>.</w:t>
      </w:r>
      <w:r w:rsidR="00512A22">
        <w:rPr>
          <w:lang w:val="en-US"/>
        </w:rPr>
        <w:t xml:space="preserve"> </w:t>
      </w:r>
      <w:r>
        <w:rPr>
          <w:lang w:val="en-US"/>
        </w:rPr>
        <w:t xml:space="preserve">Larsen, “Defining and Locating Evangelicalism,” 1. </w:t>
      </w:r>
    </w:p>
  </w:footnote>
  <w:footnote w:id="16">
    <w:p w:rsidR="00512A22" w:rsidRPr="00512A22" w:rsidRDefault="00512A22" w:rsidP="001F049D">
      <w:pPr>
        <w:pStyle w:val="FootnoteText"/>
        <w:jc w:val="both"/>
        <w:rPr>
          <w:lang w:val="en-US"/>
        </w:rPr>
      </w:pPr>
      <w:r>
        <w:rPr>
          <w:rStyle w:val="FootnoteReference"/>
        </w:rPr>
        <w:footnoteRef/>
      </w:r>
      <w:r w:rsidRPr="00512A22">
        <w:rPr>
          <w:lang w:val="en-US"/>
        </w:rPr>
        <w:t xml:space="preserve"> </w:t>
      </w:r>
      <w:r>
        <w:rPr>
          <w:lang w:val="en-US"/>
        </w:rPr>
        <w:t xml:space="preserve">These are: a) the supremacy of Holy Scripture; b) the majesty of Jesus Christ; c) the lordship of the Holy Spirit; d) the necessity of conversion; e) the priority of evangelism; and f) the importance of fellowship. They are mentioned by John Stott in his </w:t>
      </w:r>
      <w:r w:rsidRPr="00031CE1">
        <w:rPr>
          <w:i/>
          <w:iCs/>
          <w:lang w:val="en-US"/>
        </w:rPr>
        <w:t>Evangelical Truth: A Personal Plea for Unity</w:t>
      </w:r>
      <w:r>
        <w:rPr>
          <w:lang w:val="en-US"/>
        </w:rPr>
        <w:t xml:space="preserve"> (Leicester: IVP, 1999), 27-28.</w:t>
      </w:r>
    </w:p>
  </w:footnote>
  <w:footnote w:id="17">
    <w:p w:rsidR="00666DAC" w:rsidRPr="008E6A08" w:rsidRDefault="00666DAC" w:rsidP="001F049D">
      <w:pPr>
        <w:pStyle w:val="FootnoteText"/>
        <w:jc w:val="both"/>
        <w:rPr>
          <w:lang w:val="en-US"/>
        </w:rPr>
      </w:pPr>
      <w:r>
        <w:rPr>
          <w:rStyle w:val="FootnoteReference"/>
        </w:rPr>
        <w:footnoteRef/>
      </w:r>
      <w:r w:rsidRPr="008E6A08">
        <w:rPr>
          <w:lang w:val="en-US"/>
        </w:rPr>
        <w:t xml:space="preserve"> </w:t>
      </w:r>
      <w:r>
        <w:rPr>
          <w:lang w:val="en-US"/>
        </w:rPr>
        <w:t xml:space="preserve">John Stott, </w:t>
      </w:r>
      <w:r w:rsidRPr="00031CE1">
        <w:rPr>
          <w:i/>
          <w:iCs/>
          <w:lang w:val="en-US"/>
        </w:rPr>
        <w:t>Evangelical Truth: A Personal Plea for Unity</w:t>
      </w:r>
      <w:r>
        <w:rPr>
          <w:lang w:val="en-US"/>
        </w:rPr>
        <w:t xml:space="preserve"> (Leicester: IVP, 1999), 27-28.</w:t>
      </w:r>
    </w:p>
  </w:footnote>
  <w:footnote w:id="18">
    <w:p w:rsidR="0053261C" w:rsidRPr="0053261C" w:rsidRDefault="0053261C" w:rsidP="001F049D">
      <w:pPr>
        <w:pStyle w:val="FootnoteText"/>
        <w:jc w:val="both"/>
        <w:rPr>
          <w:lang w:val="en-US"/>
        </w:rPr>
      </w:pPr>
      <w:r>
        <w:rPr>
          <w:rStyle w:val="FootnoteReference"/>
        </w:rPr>
        <w:footnoteRef/>
      </w:r>
      <w:r w:rsidRPr="0053261C">
        <w:rPr>
          <w:lang w:val="en-US"/>
        </w:rPr>
        <w:t xml:space="preserve"> </w:t>
      </w:r>
      <w:r>
        <w:rPr>
          <w:lang w:val="en-US"/>
        </w:rPr>
        <w:t xml:space="preserve">One should not regard believers who are skilled in biblical languages as an elite class with exclusive access to higher knowledge. They are the church’s servants and they should view themselves as such. They are not </w:t>
      </w:r>
      <w:r w:rsidRPr="0053261C">
        <w:rPr>
          <w:i/>
          <w:iCs/>
          <w:lang w:val="en-US"/>
        </w:rPr>
        <w:t>imparting</w:t>
      </w:r>
      <w:r>
        <w:rPr>
          <w:lang w:val="en-US"/>
        </w:rPr>
        <w:t xml:space="preserve"> the knowledge of God in people but they are ministering to believers who </w:t>
      </w:r>
      <w:r w:rsidRPr="00F369B7">
        <w:rPr>
          <w:i/>
          <w:iCs/>
          <w:lang w:val="en-US"/>
        </w:rPr>
        <w:t>already</w:t>
      </w:r>
      <w:r>
        <w:rPr>
          <w:lang w:val="en-US"/>
        </w:rPr>
        <w:t xml:space="preserve"> know the Lord through the work of the Holy Spirit (Acts 2:17-18). </w:t>
      </w:r>
      <w:r w:rsidR="00F369B7">
        <w:rPr>
          <w:lang w:val="en-US"/>
        </w:rPr>
        <w:t>At the same time</w:t>
      </w:r>
      <w:r w:rsidR="00EE20CE">
        <w:rPr>
          <w:lang w:val="en-US"/>
        </w:rPr>
        <w:t>, o</w:t>
      </w:r>
      <w:r>
        <w:rPr>
          <w:lang w:val="en-US"/>
        </w:rPr>
        <w:t>ne needs to make a distinction between various kinds of knowledge.</w:t>
      </w:r>
      <w:r w:rsidR="009B7014">
        <w:rPr>
          <w:lang w:val="en-US"/>
        </w:rPr>
        <w:t xml:space="preserve"> In Jeremiah 31:31-34, for example, the prophet anticipates a time when</w:t>
      </w:r>
      <w:r w:rsidR="00EE20CE">
        <w:rPr>
          <w:lang w:val="en-US"/>
        </w:rPr>
        <w:t xml:space="preserve"> everyone will “know the Lord”</w:t>
      </w:r>
      <w:r w:rsidR="00F369B7">
        <w:rPr>
          <w:lang w:val="en-US"/>
        </w:rPr>
        <w:t xml:space="preserve"> and will not be instructed by another (cf. </w:t>
      </w:r>
      <w:proofErr w:type="spellStart"/>
      <w:r w:rsidR="00F369B7">
        <w:rPr>
          <w:lang w:val="en-US"/>
        </w:rPr>
        <w:t>Heb</w:t>
      </w:r>
      <w:proofErr w:type="spellEnd"/>
      <w:r w:rsidR="00F369B7">
        <w:rPr>
          <w:lang w:val="en-US"/>
        </w:rPr>
        <w:t xml:space="preserve"> 8:7-12)</w:t>
      </w:r>
      <w:r w:rsidR="00EE20CE">
        <w:rPr>
          <w:lang w:val="en-US"/>
        </w:rPr>
        <w:t>. It is not likely that the author is envisaging a time when everyone will stop studying</w:t>
      </w:r>
      <w:r w:rsidR="00F369B7">
        <w:rPr>
          <w:lang w:val="en-US"/>
        </w:rPr>
        <w:t xml:space="preserve"> or teaching</w:t>
      </w:r>
      <w:r w:rsidR="00EE20CE">
        <w:rPr>
          <w:lang w:val="en-US"/>
        </w:rPr>
        <w:t xml:space="preserve"> the Torah. Rather, it describes </w:t>
      </w:r>
      <w:r w:rsidR="00F369B7">
        <w:rPr>
          <w:lang w:val="en-US"/>
        </w:rPr>
        <w:t>a natural tendency towards</w:t>
      </w:r>
      <w:r w:rsidR="00EE20CE">
        <w:rPr>
          <w:lang w:val="en-US"/>
        </w:rPr>
        <w:t xml:space="preserve"> morality and obedience</w:t>
      </w:r>
      <w:r w:rsidR="00F369B7">
        <w:rPr>
          <w:lang w:val="en-US"/>
        </w:rPr>
        <w:t xml:space="preserve"> in</w:t>
      </w:r>
      <w:r w:rsidR="00EE20CE">
        <w:rPr>
          <w:lang w:val="en-US"/>
        </w:rPr>
        <w:t xml:space="preserve"> the people according to the prophet’s definition of knowledge elsewhere: “He defended the cause of the just and the needy, then it was well. Is not that what it means to know me?” (22:16; </w:t>
      </w:r>
      <w:r w:rsidR="00F369B7">
        <w:rPr>
          <w:lang w:val="en-US"/>
        </w:rPr>
        <w:t xml:space="preserve">see </w:t>
      </w:r>
      <w:r w:rsidR="00EE20CE">
        <w:rPr>
          <w:lang w:val="en-US"/>
        </w:rPr>
        <w:t xml:space="preserve">also </w:t>
      </w:r>
      <w:r w:rsidR="00F369B7">
        <w:t>4:22</w:t>
      </w:r>
      <w:r w:rsidR="00F369B7">
        <w:rPr>
          <w:lang w:val="en-US"/>
        </w:rPr>
        <w:t>;</w:t>
      </w:r>
      <w:r w:rsidR="00F369B7">
        <w:t xml:space="preserve"> 9:2</w:t>
      </w:r>
      <w:r w:rsidR="00F369B7">
        <w:rPr>
          <w:lang w:val="en-US"/>
        </w:rPr>
        <w:t>-</w:t>
      </w:r>
      <w:r w:rsidR="00F369B7">
        <w:t>3</w:t>
      </w:r>
      <w:r w:rsidR="00F369B7">
        <w:rPr>
          <w:lang w:val="en-US"/>
        </w:rPr>
        <w:t>;</w:t>
      </w:r>
      <w:r w:rsidR="00F369B7">
        <w:t xml:space="preserve"> 9:5</w:t>
      </w:r>
      <w:r w:rsidR="00F369B7">
        <w:rPr>
          <w:lang w:val="en-US"/>
        </w:rPr>
        <w:t>-</w:t>
      </w:r>
      <w:r w:rsidR="00F369B7">
        <w:t>6</w:t>
      </w:r>
      <w:r w:rsidR="00F369B7">
        <w:rPr>
          <w:lang w:val="en-US"/>
        </w:rPr>
        <w:t>;</w:t>
      </w:r>
      <w:r w:rsidR="00F369B7">
        <w:t xml:space="preserve"> 24:7</w:t>
      </w:r>
      <w:r w:rsidR="00EE20CE">
        <w:rPr>
          <w:lang w:val="en-US"/>
        </w:rPr>
        <w:t>)</w:t>
      </w:r>
      <w:r w:rsidR="00F369B7">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076176"/>
      <w:docPartObj>
        <w:docPartGallery w:val="Page Numbers (Top of Page)"/>
        <w:docPartUnique/>
      </w:docPartObj>
    </w:sdtPr>
    <w:sdtEndPr>
      <w:rPr>
        <w:noProof/>
      </w:rPr>
    </w:sdtEndPr>
    <w:sdtContent>
      <w:p w:rsidR="006B46F5" w:rsidRDefault="006B46F5">
        <w:pPr>
          <w:pStyle w:val="Header"/>
          <w:jc w:val="right"/>
        </w:pPr>
        <w:r>
          <w:fldChar w:fldCharType="begin"/>
        </w:r>
        <w:r>
          <w:instrText xml:space="preserve"> PAGE   \* MERGEFORMAT </w:instrText>
        </w:r>
        <w:r>
          <w:fldChar w:fldCharType="separate"/>
        </w:r>
        <w:r w:rsidR="00B34AC2">
          <w:rPr>
            <w:noProof/>
          </w:rPr>
          <w:t>9</w:t>
        </w:r>
        <w:r>
          <w:rPr>
            <w:noProof/>
          </w:rPr>
          <w:fldChar w:fldCharType="end"/>
        </w:r>
      </w:p>
    </w:sdtContent>
  </w:sdt>
  <w:p w:rsidR="006B46F5" w:rsidRDefault="006B46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FA"/>
    <w:rsid w:val="00005CDF"/>
    <w:rsid w:val="00007C28"/>
    <w:rsid w:val="000337AB"/>
    <w:rsid w:val="00051BFC"/>
    <w:rsid w:val="00054912"/>
    <w:rsid w:val="00075ADE"/>
    <w:rsid w:val="00080CB0"/>
    <w:rsid w:val="00093763"/>
    <w:rsid w:val="000D4A42"/>
    <w:rsid w:val="000D54BD"/>
    <w:rsid w:val="000E786C"/>
    <w:rsid w:val="000F5446"/>
    <w:rsid w:val="00103D0A"/>
    <w:rsid w:val="00115002"/>
    <w:rsid w:val="00125100"/>
    <w:rsid w:val="00125522"/>
    <w:rsid w:val="0013588E"/>
    <w:rsid w:val="001833DE"/>
    <w:rsid w:val="001835CC"/>
    <w:rsid w:val="001A0C82"/>
    <w:rsid w:val="001A6777"/>
    <w:rsid w:val="001B0C78"/>
    <w:rsid w:val="001C04CF"/>
    <w:rsid w:val="001E3153"/>
    <w:rsid w:val="001E4C1A"/>
    <w:rsid w:val="001F006D"/>
    <w:rsid w:val="001F049D"/>
    <w:rsid w:val="001F7A2F"/>
    <w:rsid w:val="0022249A"/>
    <w:rsid w:val="00225805"/>
    <w:rsid w:val="0025571F"/>
    <w:rsid w:val="00255833"/>
    <w:rsid w:val="00263179"/>
    <w:rsid w:val="00263E0C"/>
    <w:rsid w:val="00277228"/>
    <w:rsid w:val="00284982"/>
    <w:rsid w:val="002867CE"/>
    <w:rsid w:val="00291EFD"/>
    <w:rsid w:val="002E78C8"/>
    <w:rsid w:val="002F5AB1"/>
    <w:rsid w:val="00302A1B"/>
    <w:rsid w:val="003058FE"/>
    <w:rsid w:val="003107FA"/>
    <w:rsid w:val="00315517"/>
    <w:rsid w:val="00367E64"/>
    <w:rsid w:val="00380682"/>
    <w:rsid w:val="003A32C9"/>
    <w:rsid w:val="003C2FE0"/>
    <w:rsid w:val="003C46E1"/>
    <w:rsid w:val="003D10E0"/>
    <w:rsid w:val="003D404E"/>
    <w:rsid w:val="004075E9"/>
    <w:rsid w:val="00416FFB"/>
    <w:rsid w:val="004178FF"/>
    <w:rsid w:val="0044469C"/>
    <w:rsid w:val="00447DE8"/>
    <w:rsid w:val="004745F9"/>
    <w:rsid w:val="00482075"/>
    <w:rsid w:val="004929C7"/>
    <w:rsid w:val="004A5671"/>
    <w:rsid w:val="004B2130"/>
    <w:rsid w:val="00501B9D"/>
    <w:rsid w:val="00512A22"/>
    <w:rsid w:val="0051757D"/>
    <w:rsid w:val="0053261C"/>
    <w:rsid w:val="00532E47"/>
    <w:rsid w:val="00540C9D"/>
    <w:rsid w:val="005411F6"/>
    <w:rsid w:val="00555B56"/>
    <w:rsid w:val="0056736B"/>
    <w:rsid w:val="00575CB8"/>
    <w:rsid w:val="005B3212"/>
    <w:rsid w:val="005C4371"/>
    <w:rsid w:val="005D4EE3"/>
    <w:rsid w:val="005E64E4"/>
    <w:rsid w:val="005F6E5D"/>
    <w:rsid w:val="006069C5"/>
    <w:rsid w:val="006164C2"/>
    <w:rsid w:val="00625189"/>
    <w:rsid w:val="00643E20"/>
    <w:rsid w:val="00660D6F"/>
    <w:rsid w:val="00666DAC"/>
    <w:rsid w:val="00672E46"/>
    <w:rsid w:val="00692DC7"/>
    <w:rsid w:val="00697DBF"/>
    <w:rsid w:val="006A0E46"/>
    <w:rsid w:val="006A5AD8"/>
    <w:rsid w:val="006B2683"/>
    <w:rsid w:val="006B310D"/>
    <w:rsid w:val="006B46F5"/>
    <w:rsid w:val="006C08AC"/>
    <w:rsid w:val="006C507E"/>
    <w:rsid w:val="006C6381"/>
    <w:rsid w:val="006D139D"/>
    <w:rsid w:val="006D3BDD"/>
    <w:rsid w:val="006E171E"/>
    <w:rsid w:val="006F6F09"/>
    <w:rsid w:val="00707735"/>
    <w:rsid w:val="007147CD"/>
    <w:rsid w:val="00734A00"/>
    <w:rsid w:val="007434D0"/>
    <w:rsid w:val="00745109"/>
    <w:rsid w:val="00750700"/>
    <w:rsid w:val="007540EE"/>
    <w:rsid w:val="007827F5"/>
    <w:rsid w:val="00793A2E"/>
    <w:rsid w:val="007C0FCE"/>
    <w:rsid w:val="007E2925"/>
    <w:rsid w:val="0080018C"/>
    <w:rsid w:val="00800841"/>
    <w:rsid w:val="00821502"/>
    <w:rsid w:val="00824CA8"/>
    <w:rsid w:val="0084590B"/>
    <w:rsid w:val="00846865"/>
    <w:rsid w:val="008623AF"/>
    <w:rsid w:val="00865DCB"/>
    <w:rsid w:val="00894CDE"/>
    <w:rsid w:val="008A0836"/>
    <w:rsid w:val="008A329D"/>
    <w:rsid w:val="008A4751"/>
    <w:rsid w:val="008C6677"/>
    <w:rsid w:val="008E4BD1"/>
    <w:rsid w:val="008F164C"/>
    <w:rsid w:val="008F2ED7"/>
    <w:rsid w:val="008F362E"/>
    <w:rsid w:val="008F3EFB"/>
    <w:rsid w:val="00926C7B"/>
    <w:rsid w:val="00927420"/>
    <w:rsid w:val="009405A7"/>
    <w:rsid w:val="009413CC"/>
    <w:rsid w:val="009647AC"/>
    <w:rsid w:val="0098431E"/>
    <w:rsid w:val="0098506E"/>
    <w:rsid w:val="00994466"/>
    <w:rsid w:val="009A065C"/>
    <w:rsid w:val="009A0E68"/>
    <w:rsid w:val="009B3C6D"/>
    <w:rsid w:val="009B4136"/>
    <w:rsid w:val="009B7014"/>
    <w:rsid w:val="009B7262"/>
    <w:rsid w:val="009C0115"/>
    <w:rsid w:val="009C2741"/>
    <w:rsid w:val="009E0822"/>
    <w:rsid w:val="009E380A"/>
    <w:rsid w:val="009E792D"/>
    <w:rsid w:val="009F28DC"/>
    <w:rsid w:val="009F51F7"/>
    <w:rsid w:val="009F551B"/>
    <w:rsid w:val="009F7414"/>
    <w:rsid w:val="00A04702"/>
    <w:rsid w:val="00A05C6A"/>
    <w:rsid w:val="00A13C20"/>
    <w:rsid w:val="00A30768"/>
    <w:rsid w:val="00A55678"/>
    <w:rsid w:val="00A76079"/>
    <w:rsid w:val="00A97BDF"/>
    <w:rsid w:val="00AA0E73"/>
    <w:rsid w:val="00AA1771"/>
    <w:rsid w:val="00AA6D2E"/>
    <w:rsid w:val="00AA778B"/>
    <w:rsid w:val="00AC128C"/>
    <w:rsid w:val="00AD1734"/>
    <w:rsid w:val="00AE6586"/>
    <w:rsid w:val="00AF5F17"/>
    <w:rsid w:val="00B17791"/>
    <w:rsid w:val="00B30548"/>
    <w:rsid w:val="00B34AC2"/>
    <w:rsid w:val="00B5122A"/>
    <w:rsid w:val="00B60B6B"/>
    <w:rsid w:val="00B60B88"/>
    <w:rsid w:val="00B7267C"/>
    <w:rsid w:val="00B8203A"/>
    <w:rsid w:val="00BA076C"/>
    <w:rsid w:val="00BC4DE2"/>
    <w:rsid w:val="00BD4075"/>
    <w:rsid w:val="00BD5F86"/>
    <w:rsid w:val="00BF0AB4"/>
    <w:rsid w:val="00C11297"/>
    <w:rsid w:val="00C27392"/>
    <w:rsid w:val="00C3102F"/>
    <w:rsid w:val="00C314E0"/>
    <w:rsid w:val="00C47AA8"/>
    <w:rsid w:val="00C508E4"/>
    <w:rsid w:val="00C53DE3"/>
    <w:rsid w:val="00C55A8B"/>
    <w:rsid w:val="00C65B11"/>
    <w:rsid w:val="00CB352F"/>
    <w:rsid w:val="00CE0282"/>
    <w:rsid w:val="00CF1463"/>
    <w:rsid w:val="00CF3F76"/>
    <w:rsid w:val="00D07F3D"/>
    <w:rsid w:val="00D160B5"/>
    <w:rsid w:val="00D201C1"/>
    <w:rsid w:val="00D27864"/>
    <w:rsid w:val="00D506DB"/>
    <w:rsid w:val="00D534FB"/>
    <w:rsid w:val="00D57179"/>
    <w:rsid w:val="00D57368"/>
    <w:rsid w:val="00D6186F"/>
    <w:rsid w:val="00D81518"/>
    <w:rsid w:val="00D93506"/>
    <w:rsid w:val="00D951C3"/>
    <w:rsid w:val="00D97DED"/>
    <w:rsid w:val="00DA15EE"/>
    <w:rsid w:val="00DA6983"/>
    <w:rsid w:val="00DC1AA9"/>
    <w:rsid w:val="00DD21BE"/>
    <w:rsid w:val="00E1472E"/>
    <w:rsid w:val="00E37F46"/>
    <w:rsid w:val="00E41D55"/>
    <w:rsid w:val="00E52949"/>
    <w:rsid w:val="00E819E7"/>
    <w:rsid w:val="00E90788"/>
    <w:rsid w:val="00E916EE"/>
    <w:rsid w:val="00EA1F70"/>
    <w:rsid w:val="00EC3D54"/>
    <w:rsid w:val="00EC769A"/>
    <w:rsid w:val="00EE20CE"/>
    <w:rsid w:val="00EE3A48"/>
    <w:rsid w:val="00F0211C"/>
    <w:rsid w:val="00F02A19"/>
    <w:rsid w:val="00F1187C"/>
    <w:rsid w:val="00F11A62"/>
    <w:rsid w:val="00F30CE5"/>
    <w:rsid w:val="00F31CE4"/>
    <w:rsid w:val="00F369B7"/>
    <w:rsid w:val="00F52C0A"/>
    <w:rsid w:val="00F60184"/>
    <w:rsid w:val="00F676DB"/>
    <w:rsid w:val="00F67AB2"/>
    <w:rsid w:val="00F71921"/>
    <w:rsid w:val="00F91D28"/>
    <w:rsid w:val="00FA5E97"/>
    <w:rsid w:val="00FC6DB5"/>
    <w:rsid w:val="00FD4FBB"/>
    <w:rsid w:val="00FE22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FA"/>
    <w:rPr>
      <w:rFonts w:ascii="Palatino Linotype" w:hAnsi="Palatino Linotype" w:cs="Cardo"/>
      <w:sz w:val="24"/>
      <w:lang w:val="el-GR" w:bidi="he-IL"/>
    </w:rPr>
  </w:style>
  <w:style w:type="paragraph" w:styleId="Heading1">
    <w:name w:val="heading 1"/>
    <w:basedOn w:val="Normal"/>
    <w:next w:val="Normal"/>
    <w:link w:val="Heading1Char"/>
    <w:uiPriority w:val="9"/>
    <w:qFormat/>
    <w:rsid w:val="003107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267C"/>
    <w:pPr>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7FA"/>
    <w:rPr>
      <w:rFonts w:asciiTheme="majorHAnsi" w:eastAsiaTheme="majorEastAsia" w:hAnsiTheme="majorHAnsi" w:cstheme="majorBidi"/>
      <w:b/>
      <w:bCs/>
      <w:color w:val="365F91" w:themeColor="accent1" w:themeShade="BF"/>
      <w:sz w:val="28"/>
      <w:szCs w:val="28"/>
      <w:lang w:val="el-GR" w:bidi="he-IL"/>
    </w:rPr>
  </w:style>
  <w:style w:type="character" w:customStyle="1" w:styleId="Heading2Char">
    <w:name w:val="Heading 2 Char"/>
    <w:basedOn w:val="DefaultParagraphFont"/>
    <w:link w:val="Heading2"/>
    <w:uiPriority w:val="9"/>
    <w:rsid w:val="00B7267C"/>
    <w:rPr>
      <w:rFonts w:ascii="Palatino Linotype" w:hAnsi="Palatino Linotype" w:cs="Cardo"/>
      <w:b/>
      <w:bCs/>
      <w:sz w:val="24"/>
      <w:lang w:bidi="he-IL"/>
    </w:rPr>
  </w:style>
  <w:style w:type="paragraph" w:styleId="FootnoteText">
    <w:name w:val="footnote text"/>
    <w:basedOn w:val="Normal"/>
    <w:link w:val="FootnoteTextChar"/>
    <w:uiPriority w:val="99"/>
    <w:semiHidden/>
    <w:unhideWhenUsed/>
    <w:rsid w:val="00A97B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BDF"/>
    <w:rPr>
      <w:rFonts w:ascii="Palatino Linotype" w:hAnsi="Palatino Linotype" w:cs="Cardo"/>
      <w:sz w:val="20"/>
      <w:szCs w:val="20"/>
      <w:lang w:val="el-GR" w:bidi="he-IL"/>
    </w:rPr>
  </w:style>
  <w:style w:type="character" w:styleId="FootnoteReference">
    <w:name w:val="footnote reference"/>
    <w:basedOn w:val="DefaultParagraphFont"/>
    <w:uiPriority w:val="99"/>
    <w:semiHidden/>
    <w:unhideWhenUsed/>
    <w:rsid w:val="00A97BDF"/>
    <w:rPr>
      <w:vertAlign w:val="superscript"/>
    </w:rPr>
  </w:style>
  <w:style w:type="paragraph" w:styleId="Header">
    <w:name w:val="header"/>
    <w:basedOn w:val="Normal"/>
    <w:link w:val="HeaderChar"/>
    <w:uiPriority w:val="99"/>
    <w:unhideWhenUsed/>
    <w:rsid w:val="006B4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6F5"/>
    <w:rPr>
      <w:rFonts w:ascii="Palatino Linotype" w:hAnsi="Palatino Linotype" w:cs="Cardo"/>
      <w:sz w:val="24"/>
      <w:lang w:val="el-GR" w:bidi="he-IL"/>
    </w:rPr>
  </w:style>
  <w:style w:type="paragraph" w:styleId="Footer">
    <w:name w:val="footer"/>
    <w:basedOn w:val="Normal"/>
    <w:link w:val="FooterChar"/>
    <w:uiPriority w:val="99"/>
    <w:unhideWhenUsed/>
    <w:rsid w:val="006B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6F5"/>
    <w:rPr>
      <w:rFonts w:ascii="Palatino Linotype" w:hAnsi="Palatino Linotype" w:cs="Cardo"/>
      <w:sz w:val="24"/>
      <w:lang w:val="el-GR" w:bidi="he-IL"/>
    </w:rPr>
  </w:style>
  <w:style w:type="paragraph" w:styleId="Title">
    <w:name w:val="Title"/>
    <w:basedOn w:val="Normal"/>
    <w:next w:val="Normal"/>
    <w:link w:val="TitleChar"/>
    <w:uiPriority w:val="10"/>
    <w:qFormat/>
    <w:rsid w:val="008008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0841"/>
    <w:rPr>
      <w:rFonts w:asciiTheme="majorHAnsi" w:eastAsiaTheme="majorEastAsia" w:hAnsiTheme="majorHAnsi" w:cstheme="majorBidi"/>
      <w:color w:val="17365D" w:themeColor="text2" w:themeShade="BF"/>
      <w:spacing w:val="5"/>
      <w:kern w:val="28"/>
      <w:sz w:val="52"/>
      <w:szCs w:val="52"/>
      <w:lang w:val="el-GR" w:bidi="he-IL"/>
    </w:rPr>
  </w:style>
  <w:style w:type="paragraph" w:styleId="BalloonText">
    <w:name w:val="Balloon Text"/>
    <w:basedOn w:val="Normal"/>
    <w:link w:val="BalloonTextChar"/>
    <w:uiPriority w:val="99"/>
    <w:semiHidden/>
    <w:unhideWhenUsed/>
    <w:rsid w:val="00846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865"/>
    <w:rPr>
      <w:rFonts w:ascii="Tahoma" w:hAnsi="Tahoma" w:cs="Tahoma"/>
      <w:sz w:val="16"/>
      <w:szCs w:val="16"/>
      <w:lang w:val="el-GR"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FA"/>
    <w:rPr>
      <w:rFonts w:ascii="Palatino Linotype" w:hAnsi="Palatino Linotype" w:cs="Cardo"/>
      <w:sz w:val="24"/>
      <w:lang w:val="el-GR" w:bidi="he-IL"/>
    </w:rPr>
  </w:style>
  <w:style w:type="paragraph" w:styleId="Heading1">
    <w:name w:val="heading 1"/>
    <w:basedOn w:val="Normal"/>
    <w:next w:val="Normal"/>
    <w:link w:val="Heading1Char"/>
    <w:uiPriority w:val="9"/>
    <w:qFormat/>
    <w:rsid w:val="003107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267C"/>
    <w:pPr>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7FA"/>
    <w:rPr>
      <w:rFonts w:asciiTheme="majorHAnsi" w:eastAsiaTheme="majorEastAsia" w:hAnsiTheme="majorHAnsi" w:cstheme="majorBidi"/>
      <w:b/>
      <w:bCs/>
      <w:color w:val="365F91" w:themeColor="accent1" w:themeShade="BF"/>
      <w:sz w:val="28"/>
      <w:szCs w:val="28"/>
      <w:lang w:val="el-GR" w:bidi="he-IL"/>
    </w:rPr>
  </w:style>
  <w:style w:type="character" w:customStyle="1" w:styleId="Heading2Char">
    <w:name w:val="Heading 2 Char"/>
    <w:basedOn w:val="DefaultParagraphFont"/>
    <w:link w:val="Heading2"/>
    <w:uiPriority w:val="9"/>
    <w:rsid w:val="00B7267C"/>
    <w:rPr>
      <w:rFonts w:ascii="Palatino Linotype" w:hAnsi="Palatino Linotype" w:cs="Cardo"/>
      <w:b/>
      <w:bCs/>
      <w:sz w:val="24"/>
      <w:lang w:bidi="he-IL"/>
    </w:rPr>
  </w:style>
  <w:style w:type="paragraph" w:styleId="FootnoteText">
    <w:name w:val="footnote text"/>
    <w:basedOn w:val="Normal"/>
    <w:link w:val="FootnoteTextChar"/>
    <w:uiPriority w:val="99"/>
    <w:semiHidden/>
    <w:unhideWhenUsed/>
    <w:rsid w:val="00A97B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BDF"/>
    <w:rPr>
      <w:rFonts w:ascii="Palatino Linotype" w:hAnsi="Palatino Linotype" w:cs="Cardo"/>
      <w:sz w:val="20"/>
      <w:szCs w:val="20"/>
      <w:lang w:val="el-GR" w:bidi="he-IL"/>
    </w:rPr>
  </w:style>
  <w:style w:type="character" w:styleId="FootnoteReference">
    <w:name w:val="footnote reference"/>
    <w:basedOn w:val="DefaultParagraphFont"/>
    <w:uiPriority w:val="99"/>
    <w:semiHidden/>
    <w:unhideWhenUsed/>
    <w:rsid w:val="00A97BDF"/>
    <w:rPr>
      <w:vertAlign w:val="superscript"/>
    </w:rPr>
  </w:style>
  <w:style w:type="paragraph" w:styleId="Header">
    <w:name w:val="header"/>
    <w:basedOn w:val="Normal"/>
    <w:link w:val="HeaderChar"/>
    <w:uiPriority w:val="99"/>
    <w:unhideWhenUsed/>
    <w:rsid w:val="006B4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6F5"/>
    <w:rPr>
      <w:rFonts w:ascii="Palatino Linotype" w:hAnsi="Palatino Linotype" w:cs="Cardo"/>
      <w:sz w:val="24"/>
      <w:lang w:val="el-GR" w:bidi="he-IL"/>
    </w:rPr>
  </w:style>
  <w:style w:type="paragraph" w:styleId="Footer">
    <w:name w:val="footer"/>
    <w:basedOn w:val="Normal"/>
    <w:link w:val="FooterChar"/>
    <w:uiPriority w:val="99"/>
    <w:unhideWhenUsed/>
    <w:rsid w:val="006B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6F5"/>
    <w:rPr>
      <w:rFonts w:ascii="Palatino Linotype" w:hAnsi="Palatino Linotype" w:cs="Cardo"/>
      <w:sz w:val="24"/>
      <w:lang w:val="el-GR" w:bidi="he-IL"/>
    </w:rPr>
  </w:style>
  <w:style w:type="paragraph" w:styleId="Title">
    <w:name w:val="Title"/>
    <w:basedOn w:val="Normal"/>
    <w:next w:val="Normal"/>
    <w:link w:val="TitleChar"/>
    <w:uiPriority w:val="10"/>
    <w:qFormat/>
    <w:rsid w:val="008008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0841"/>
    <w:rPr>
      <w:rFonts w:asciiTheme="majorHAnsi" w:eastAsiaTheme="majorEastAsia" w:hAnsiTheme="majorHAnsi" w:cstheme="majorBidi"/>
      <w:color w:val="17365D" w:themeColor="text2" w:themeShade="BF"/>
      <w:spacing w:val="5"/>
      <w:kern w:val="28"/>
      <w:sz w:val="52"/>
      <w:szCs w:val="52"/>
      <w:lang w:val="el-GR" w:bidi="he-IL"/>
    </w:rPr>
  </w:style>
  <w:style w:type="paragraph" w:styleId="BalloonText">
    <w:name w:val="Balloon Text"/>
    <w:basedOn w:val="Normal"/>
    <w:link w:val="BalloonTextChar"/>
    <w:uiPriority w:val="99"/>
    <w:semiHidden/>
    <w:unhideWhenUsed/>
    <w:rsid w:val="00846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865"/>
    <w:rPr>
      <w:rFonts w:ascii="Tahoma" w:hAnsi="Tahoma" w:cs="Tahoma"/>
      <w:sz w:val="16"/>
      <w:szCs w:val="16"/>
      <w:lang w:val="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C42B9D9-053F-45CB-BC9E-B902DDAB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4531</TotalTime>
  <Pages>12</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75</cp:revision>
  <cp:lastPrinted>2012-10-13T19:00:00Z</cp:lastPrinted>
  <dcterms:created xsi:type="dcterms:W3CDTF">2012-10-01T09:42:00Z</dcterms:created>
  <dcterms:modified xsi:type="dcterms:W3CDTF">2013-04-12T18:11:00Z</dcterms:modified>
</cp:coreProperties>
</file>