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217" w:rsidRPr="008E1217" w:rsidRDefault="008E1217" w:rsidP="008E1217">
      <w:pPr>
        <w:spacing w:after="200" w:line="276" w:lineRule="auto"/>
        <w:jc w:val="center"/>
        <w:rPr>
          <w:sz w:val="22"/>
          <w:szCs w:val="22"/>
        </w:rPr>
      </w:pPr>
    </w:p>
    <w:p w:rsidR="008E1217" w:rsidRPr="008E1217" w:rsidRDefault="008E1217" w:rsidP="008E1217">
      <w:pPr>
        <w:spacing w:after="200" w:line="276" w:lineRule="auto"/>
        <w:jc w:val="center"/>
        <w:rPr>
          <w:sz w:val="22"/>
          <w:szCs w:val="22"/>
        </w:rPr>
      </w:pPr>
    </w:p>
    <w:p w:rsidR="008E1217" w:rsidRPr="008E1217" w:rsidRDefault="008E1217" w:rsidP="008E1217">
      <w:pPr>
        <w:spacing w:after="200" w:line="276" w:lineRule="auto"/>
        <w:jc w:val="center"/>
        <w:rPr>
          <w:sz w:val="22"/>
          <w:szCs w:val="22"/>
        </w:rPr>
      </w:pPr>
    </w:p>
    <w:p w:rsidR="008E1217" w:rsidRPr="008E1217" w:rsidRDefault="008E1217" w:rsidP="008E1217">
      <w:pPr>
        <w:spacing w:after="200" w:line="276" w:lineRule="auto"/>
        <w:jc w:val="center"/>
        <w:rPr>
          <w:sz w:val="22"/>
          <w:szCs w:val="22"/>
        </w:rPr>
      </w:pPr>
    </w:p>
    <w:p w:rsidR="008E1217" w:rsidRPr="008E1217" w:rsidRDefault="008E1217" w:rsidP="008E1217">
      <w:pPr>
        <w:spacing w:after="200" w:line="276" w:lineRule="auto"/>
        <w:jc w:val="center"/>
        <w:rPr>
          <w:sz w:val="22"/>
          <w:szCs w:val="22"/>
        </w:rPr>
      </w:pPr>
    </w:p>
    <w:p w:rsidR="008E1217" w:rsidRPr="008E1217" w:rsidRDefault="008E1217" w:rsidP="008E1217">
      <w:pPr>
        <w:spacing w:after="200" w:line="276" w:lineRule="auto"/>
        <w:jc w:val="center"/>
        <w:rPr>
          <w:sz w:val="22"/>
          <w:szCs w:val="22"/>
        </w:rPr>
      </w:pPr>
    </w:p>
    <w:p w:rsidR="008E1217" w:rsidRPr="008E1217" w:rsidRDefault="008E1217" w:rsidP="008E1217">
      <w:pPr>
        <w:spacing w:after="200" w:line="276" w:lineRule="auto"/>
        <w:jc w:val="center"/>
        <w:rPr>
          <w:sz w:val="22"/>
          <w:szCs w:val="22"/>
        </w:rPr>
      </w:pPr>
    </w:p>
    <w:p w:rsidR="008E1217" w:rsidRPr="008E1217" w:rsidRDefault="008E1217" w:rsidP="008E1217">
      <w:pPr>
        <w:spacing w:after="200" w:line="276" w:lineRule="auto"/>
        <w:jc w:val="center"/>
        <w:rPr>
          <w:smallCaps/>
          <w:sz w:val="22"/>
          <w:szCs w:val="22"/>
        </w:rPr>
      </w:pPr>
      <w:r>
        <w:rPr>
          <w:smallCaps/>
          <w:sz w:val="22"/>
          <w:szCs w:val="22"/>
        </w:rPr>
        <w:t>Teacher and Lord</w:t>
      </w:r>
    </w:p>
    <w:p w:rsidR="008E1217" w:rsidRPr="008E1217" w:rsidRDefault="008E1217" w:rsidP="008E1217">
      <w:pPr>
        <w:spacing w:after="200" w:line="276" w:lineRule="auto"/>
        <w:jc w:val="center"/>
        <w:rPr>
          <w:i/>
          <w:sz w:val="22"/>
          <w:szCs w:val="22"/>
        </w:rPr>
      </w:pPr>
      <w:r>
        <w:rPr>
          <w:sz w:val="22"/>
          <w:szCs w:val="22"/>
        </w:rPr>
        <w:t>Spiritual Formation on the Road with Messiah</w:t>
      </w:r>
    </w:p>
    <w:p w:rsidR="008E1217" w:rsidRPr="008E1217" w:rsidRDefault="008E1217" w:rsidP="008E1217">
      <w:pPr>
        <w:spacing w:after="200" w:line="276" w:lineRule="auto"/>
        <w:jc w:val="center"/>
        <w:rPr>
          <w:i/>
          <w:sz w:val="22"/>
          <w:szCs w:val="22"/>
        </w:rPr>
      </w:pPr>
    </w:p>
    <w:p w:rsidR="008E1217" w:rsidRPr="008E1217" w:rsidRDefault="008E1217" w:rsidP="008E1217">
      <w:pPr>
        <w:spacing w:after="200" w:line="276" w:lineRule="auto"/>
        <w:jc w:val="center"/>
        <w:rPr>
          <w:sz w:val="22"/>
          <w:szCs w:val="22"/>
        </w:rPr>
      </w:pPr>
    </w:p>
    <w:p w:rsidR="008E1217" w:rsidRPr="008E1217" w:rsidRDefault="008E1217" w:rsidP="008E1217">
      <w:pPr>
        <w:spacing w:after="200" w:line="276" w:lineRule="auto"/>
        <w:jc w:val="center"/>
        <w:rPr>
          <w:sz w:val="22"/>
          <w:szCs w:val="22"/>
        </w:rPr>
      </w:pPr>
    </w:p>
    <w:p w:rsidR="008E1217" w:rsidRPr="008E1217" w:rsidRDefault="008E1217" w:rsidP="008E1217">
      <w:pPr>
        <w:spacing w:after="200" w:line="276" w:lineRule="auto"/>
        <w:jc w:val="center"/>
        <w:rPr>
          <w:sz w:val="22"/>
          <w:szCs w:val="22"/>
        </w:rPr>
      </w:pPr>
      <w:r w:rsidRPr="008E1217">
        <w:rPr>
          <w:sz w:val="22"/>
          <w:szCs w:val="22"/>
        </w:rPr>
        <w:t xml:space="preserve">John Patrick </w:t>
      </w:r>
      <w:proofErr w:type="spellStart"/>
      <w:r w:rsidRPr="008E1217">
        <w:rPr>
          <w:sz w:val="22"/>
          <w:szCs w:val="22"/>
        </w:rPr>
        <w:t>Pazdziora</w:t>
      </w:r>
      <w:proofErr w:type="spellEnd"/>
    </w:p>
    <w:p w:rsidR="008E1217" w:rsidRPr="008E1217" w:rsidRDefault="008E1217" w:rsidP="008E1217">
      <w:pPr>
        <w:spacing w:after="200" w:line="276" w:lineRule="auto"/>
        <w:jc w:val="center"/>
        <w:rPr>
          <w:sz w:val="22"/>
          <w:szCs w:val="22"/>
        </w:rPr>
      </w:pPr>
    </w:p>
    <w:p w:rsidR="008E1217" w:rsidRPr="008E1217" w:rsidRDefault="008E1217" w:rsidP="008E1217">
      <w:pPr>
        <w:spacing w:after="200" w:line="276" w:lineRule="auto"/>
        <w:jc w:val="center"/>
        <w:rPr>
          <w:sz w:val="22"/>
          <w:szCs w:val="22"/>
        </w:rPr>
      </w:pPr>
    </w:p>
    <w:p w:rsidR="008E1217" w:rsidRPr="008E1217" w:rsidRDefault="008E1217" w:rsidP="008E1217">
      <w:pPr>
        <w:spacing w:after="200" w:line="276" w:lineRule="auto"/>
        <w:jc w:val="center"/>
        <w:rPr>
          <w:sz w:val="22"/>
          <w:szCs w:val="22"/>
        </w:rPr>
      </w:pPr>
    </w:p>
    <w:p w:rsidR="008E1217" w:rsidRPr="008E1217" w:rsidRDefault="008E1217" w:rsidP="008E1217">
      <w:pPr>
        <w:spacing w:after="200" w:line="276" w:lineRule="auto"/>
        <w:jc w:val="center"/>
        <w:rPr>
          <w:sz w:val="22"/>
          <w:szCs w:val="22"/>
        </w:rPr>
      </w:pPr>
    </w:p>
    <w:p w:rsidR="008E1217" w:rsidRPr="008E1217" w:rsidRDefault="008E1217" w:rsidP="008E1217">
      <w:pPr>
        <w:spacing w:after="200" w:line="276" w:lineRule="auto"/>
        <w:jc w:val="center"/>
        <w:rPr>
          <w:sz w:val="22"/>
          <w:szCs w:val="22"/>
        </w:rPr>
      </w:pPr>
    </w:p>
    <w:p w:rsidR="008E1217" w:rsidRPr="008E1217" w:rsidRDefault="008E1217" w:rsidP="008E1217">
      <w:pPr>
        <w:spacing w:after="200" w:line="276" w:lineRule="auto"/>
        <w:jc w:val="center"/>
        <w:rPr>
          <w:sz w:val="22"/>
          <w:szCs w:val="22"/>
        </w:rPr>
      </w:pPr>
    </w:p>
    <w:p w:rsidR="008E1217" w:rsidRPr="008E1217" w:rsidRDefault="008E1217" w:rsidP="008E1217">
      <w:pPr>
        <w:spacing w:after="200" w:line="276" w:lineRule="auto"/>
        <w:jc w:val="center"/>
        <w:rPr>
          <w:sz w:val="22"/>
          <w:szCs w:val="22"/>
        </w:rPr>
      </w:pPr>
    </w:p>
    <w:p w:rsidR="008E1217" w:rsidRPr="008E1217" w:rsidRDefault="008E1217" w:rsidP="008E1217">
      <w:pPr>
        <w:spacing w:after="200" w:line="276" w:lineRule="auto"/>
        <w:jc w:val="center"/>
        <w:rPr>
          <w:sz w:val="22"/>
          <w:szCs w:val="22"/>
        </w:rPr>
      </w:pPr>
    </w:p>
    <w:p w:rsidR="008E1217" w:rsidRPr="008E1217" w:rsidRDefault="008E1217" w:rsidP="008E1217">
      <w:pPr>
        <w:spacing w:after="200" w:line="276" w:lineRule="auto"/>
        <w:jc w:val="center"/>
        <w:rPr>
          <w:sz w:val="22"/>
          <w:szCs w:val="22"/>
        </w:rPr>
      </w:pPr>
    </w:p>
    <w:p w:rsidR="008E1217" w:rsidRPr="008E1217" w:rsidRDefault="00A37E98" w:rsidP="008E1217">
      <w:pPr>
        <w:spacing w:after="200" w:line="276" w:lineRule="auto"/>
        <w:jc w:val="center"/>
        <w:rPr>
          <w:sz w:val="22"/>
          <w:szCs w:val="22"/>
        </w:rPr>
      </w:pPr>
      <w:r>
        <w:t xml:space="preserve">Paper for the Post-Graduate Certificate Module in </w:t>
      </w:r>
      <w:bookmarkStart w:id="0" w:name="_GoBack"/>
      <w:bookmarkEnd w:id="0"/>
      <w:r w:rsidR="008E1217">
        <w:rPr>
          <w:sz w:val="22"/>
          <w:szCs w:val="22"/>
        </w:rPr>
        <w:t>Theological Education</w:t>
      </w:r>
    </w:p>
    <w:p w:rsidR="008E1217" w:rsidRPr="008E1217" w:rsidRDefault="008E1217" w:rsidP="008E1217">
      <w:pPr>
        <w:spacing w:after="200" w:line="276" w:lineRule="auto"/>
        <w:jc w:val="center"/>
        <w:rPr>
          <w:sz w:val="22"/>
          <w:szCs w:val="22"/>
        </w:rPr>
      </w:pPr>
      <w:proofErr w:type="spellStart"/>
      <w:r w:rsidRPr="008E1217">
        <w:rPr>
          <w:sz w:val="22"/>
          <w:szCs w:val="22"/>
        </w:rPr>
        <w:t>Dr.</w:t>
      </w:r>
      <w:proofErr w:type="spellEnd"/>
      <w:r w:rsidRPr="008E1217">
        <w:rPr>
          <w:sz w:val="22"/>
          <w:szCs w:val="22"/>
        </w:rPr>
        <w:t xml:space="preserve"> Graham Cheesman</w:t>
      </w:r>
    </w:p>
    <w:p w:rsidR="008E1217" w:rsidRPr="008E1217" w:rsidRDefault="008E1217" w:rsidP="008E1217">
      <w:pPr>
        <w:spacing w:after="200" w:line="276" w:lineRule="auto"/>
        <w:jc w:val="center"/>
        <w:rPr>
          <w:sz w:val="22"/>
          <w:szCs w:val="22"/>
        </w:rPr>
      </w:pPr>
      <w:r w:rsidRPr="008E1217">
        <w:rPr>
          <w:sz w:val="22"/>
          <w:szCs w:val="22"/>
        </w:rPr>
        <w:t>24 October, 2008</w:t>
      </w:r>
    </w:p>
    <w:p w:rsidR="008E1217" w:rsidRPr="008E1217" w:rsidRDefault="008E1217" w:rsidP="008E1217">
      <w:pPr>
        <w:spacing w:after="200" w:line="276" w:lineRule="auto"/>
        <w:jc w:val="center"/>
        <w:rPr>
          <w:sz w:val="22"/>
          <w:szCs w:val="22"/>
        </w:rPr>
      </w:pPr>
    </w:p>
    <w:p w:rsidR="008E1217" w:rsidRPr="008E1217" w:rsidRDefault="008E1217" w:rsidP="008E1217">
      <w:pPr>
        <w:spacing w:after="200" w:line="276" w:lineRule="auto"/>
        <w:jc w:val="center"/>
        <w:rPr>
          <w:sz w:val="22"/>
          <w:szCs w:val="22"/>
        </w:rPr>
      </w:pPr>
    </w:p>
    <w:p w:rsidR="008E1217" w:rsidRDefault="008E1217">
      <w:pPr>
        <w:rPr>
          <w:smallCaps/>
          <w:sz w:val="22"/>
          <w:szCs w:val="22"/>
        </w:rPr>
      </w:pPr>
      <w:r>
        <w:rPr>
          <w:smallCaps/>
          <w:sz w:val="22"/>
          <w:szCs w:val="22"/>
        </w:rPr>
        <w:br w:type="page"/>
      </w:r>
    </w:p>
    <w:p w:rsidR="000C5CA9" w:rsidRPr="008A2C62" w:rsidRDefault="000C5CA9" w:rsidP="000C5CA9">
      <w:pPr>
        <w:spacing w:line="480" w:lineRule="auto"/>
        <w:jc w:val="center"/>
        <w:rPr>
          <w:sz w:val="22"/>
          <w:szCs w:val="22"/>
        </w:rPr>
      </w:pPr>
      <w:r w:rsidRPr="008A2C62">
        <w:rPr>
          <w:smallCaps/>
          <w:sz w:val="22"/>
          <w:szCs w:val="22"/>
        </w:rPr>
        <w:lastRenderedPageBreak/>
        <w:t>Teacher and Lord:</w:t>
      </w:r>
      <w:r w:rsidRPr="008A2C62">
        <w:rPr>
          <w:sz w:val="22"/>
          <w:szCs w:val="22"/>
        </w:rPr>
        <w:t xml:space="preserve"> Formation on the Road with Messiah</w:t>
      </w:r>
    </w:p>
    <w:p w:rsidR="00F240B5" w:rsidRPr="008A2C62" w:rsidRDefault="00F240B5" w:rsidP="000C5CA9">
      <w:pPr>
        <w:spacing w:line="480" w:lineRule="auto"/>
        <w:ind w:firstLine="720"/>
        <w:rPr>
          <w:sz w:val="22"/>
          <w:szCs w:val="22"/>
        </w:rPr>
      </w:pPr>
      <w:r w:rsidRPr="008A2C62">
        <w:rPr>
          <w:sz w:val="22"/>
          <w:szCs w:val="22"/>
        </w:rPr>
        <w:t xml:space="preserve">Theological education, in the sense of people telling </w:t>
      </w:r>
      <w:r w:rsidR="00133015" w:rsidRPr="008A2C62">
        <w:rPr>
          <w:sz w:val="22"/>
          <w:szCs w:val="22"/>
        </w:rPr>
        <w:t>one</w:t>
      </w:r>
      <w:r w:rsidRPr="008A2C62">
        <w:rPr>
          <w:sz w:val="22"/>
          <w:szCs w:val="22"/>
        </w:rPr>
        <w:t xml:space="preserve"> </w:t>
      </w:r>
      <w:r w:rsidR="00133015" w:rsidRPr="008A2C62">
        <w:rPr>
          <w:sz w:val="22"/>
          <w:szCs w:val="22"/>
        </w:rPr>
        <w:t>an</w:t>
      </w:r>
      <w:r w:rsidRPr="008A2C62">
        <w:rPr>
          <w:sz w:val="22"/>
          <w:szCs w:val="22"/>
        </w:rPr>
        <w:t>other about the divine, began with the first gasp of mankind.  In its uniquely Christian</w:t>
      </w:r>
      <w:r w:rsidR="004E21FF" w:rsidRPr="008A2C62">
        <w:rPr>
          <w:sz w:val="22"/>
          <w:szCs w:val="22"/>
        </w:rPr>
        <w:t xml:space="preserve"> sense – that sense in which it </w:t>
      </w:r>
      <w:r w:rsidRPr="008A2C62">
        <w:rPr>
          <w:sz w:val="22"/>
          <w:szCs w:val="22"/>
        </w:rPr>
        <w:t xml:space="preserve">affirms the </w:t>
      </w:r>
      <w:r w:rsidR="004E21FF" w:rsidRPr="008A2C62">
        <w:rPr>
          <w:sz w:val="22"/>
          <w:szCs w:val="22"/>
        </w:rPr>
        <w:t xml:space="preserve">Resurrection of Messiah in the </w:t>
      </w:r>
      <w:r w:rsidRPr="008A2C62">
        <w:rPr>
          <w:sz w:val="22"/>
          <w:szCs w:val="22"/>
        </w:rPr>
        <w:t>goodly confession ‘</w:t>
      </w:r>
      <w:proofErr w:type="spellStart"/>
      <w:r w:rsidRPr="008A2C62">
        <w:rPr>
          <w:i/>
          <w:sz w:val="22"/>
          <w:szCs w:val="22"/>
        </w:rPr>
        <w:t>Iesus</w:t>
      </w:r>
      <w:proofErr w:type="spellEnd"/>
      <w:r w:rsidRPr="008A2C62">
        <w:rPr>
          <w:i/>
          <w:sz w:val="22"/>
          <w:szCs w:val="22"/>
        </w:rPr>
        <w:t xml:space="preserve"> </w:t>
      </w:r>
      <w:proofErr w:type="spellStart"/>
      <w:r w:rsidRPr="008A2C62">
        <w:rPr>
          <w:i/>
          <w:sz w:val="22"/>
          <w:szCs w:val="22"/>
        </w:rPr>
        <w:t>Kurios</w:t>
      </w:r>
      <w:proofErr w:type="spellEnd"/>
      <w:r w:rsidRPr="008A2C62">
        <w:rPr>
          <w:sz w:val="22"/>
          <w:szCs w:val="22"/>
        </w:rPr>
        <w:t>’—it began along a forgotten road to an unknown village somewhere in the vicinity of Jerusalem, when two miserable travellers met an inquisitive stranger.</w:t>
      </w:r>
    </w:p>
    <w:p w:rsidR="00F240B5" w:rsidRPr="008A2C62" w:rsidRDefault="00133015" w:rsidP="000C5CA9">
      <w:pPr>
        <w:spacing w:line="480" w:lineRule="auto"/>
        <w:ind w:firstLine="720"/>
        <w:rPr>
          <w:sz w:val="22"/>
          <w:szCs w:val="22"/>
        </w:rPr>
      </w:pPr>
      <w:r w:rsidRPr="008A2C62">
        <w:rPr>
          <w:sz w:val="22"/>
          <w:szCs w:val="22"/>
        </w:rPr>
        <w:t>Th</w:t>
      </w:r>
      <w:r w:rsidR="00F240B5" w:rsidRPr="008A2C62">
        <w:rPr>
          <w:sz w:val="22"/>
          <w:szCs w:val="22"/>
        </w:rPr>
        <w:t xml:space="preserve">e encounter </w:t>
      </w:r>
      <w:r w:rsidRPr="008A2C62">
        <w:rPr>
          <w:sz w:val="22"/>
          <w:szCs w:val="22"/>
        </w:rPr>
        <w:t>did</w:t>
      </w:r>
      <w:r w:rsidR="00F240B5" w:rsidRPr="008A2C62">
        <w:rPr>
          <w:sz w:val="22"/>
          <w:szCs w:val="22"/>
        </w:rPr>
        <w:t xml:space="preserve"> not have had a promising beginning.  The stranger displayed appalling ignorance of current events, and asked </w:t>
      </w:r>
      <w:r w:rsidRPr="008A2C62">
        <w:rPr>
          <w:sz w:val="22"/>
          <w:szCs w:val="22"/>
        </w:rPr>
        <w:t xml:space="preserve">the travellers </w:t>
      </w:r>
      <w:r w:rsidR="00F240B5" w:rsidRPr="008A2C62">
        <w:rPr>
          <w:sz w:val="22"/>
          <w:szCs w:val="22"/>
        </w:rPr>
        <w:t xml:space="preserve">frustrating questions about things they would </w:t>
      </w:r>
      <w:r w:rsidR="008A2C62" w:rsidRPr="008A2C62">
        <w:rPr>
          <w:sz w:val="22"/>
          <w:szCs w:val="22"/>
        </w:rPr>
        <w:t xml:space="preserve">have </w:t>
      </w:r>
      <w:r w:rsidR="00F240B5" w:rsidRPr="008A2C62">
        <w:rPr>
          <w:sz w:val="22"/>
          <w:szCs w:val="22"/>
        </w:rPr>
        <w:t xml:space="preserve">rather not discussed – the tragic death and inexplicable disappearance of </w:t>
      </w:r>
      <w:proofErr w:type="spellStart"/>
      <w:r w:rsidR="00F240B5" w:rsidRPr="008A2C62">
        <w:rPr>
          <w:sz w:val="22"/>
          <w:szCs w:val="22"/>
        </w:rPr>
        <w:t>Yeshua</w:t>
      </w:r>
      <w:proofErr w:type="spellEnd"/>
      <w:r w:rsidR="00F240B5" w:rsidRPr="008A2C62">
        <w:rPr>
          <w:sz w:val="22"/>
          <w:szCs w:val="22"/>
        </w:rPr>
        <w:t xml:space="preserve"> of Nazareth.  Upon hearing their fraught emotional reply, however, the stranger </w:t>
      </w:r>
      <w:proofErr w:type="gramStart"/>
      <w:r w:rsidR="00F240B5" w:rsidRPr="008A2C62">
        <w:rPr>
          <w:sz w:val="22"/>
          <w:szCs w:val="22"/>
        </w:rPr>
        <w:t>remonstrated</w:t>
      </w:r>
      <w:proofErr w:type="gramEnd"/>
      <w:r w:rsidR="00F240B5" w:rsidRPr="008A2C62">
        <w:rPr>
          <w:sz w:val="22"/>
          <w:szCs w:val="22"/>
        </w:rPr>
        <w:t xml:space="preserve"> them for being ‘foolish’ and ‘slow’, and began the first course of Christian theological education.</w:t>
      </w:r>
    </w:p>
    <w:p w:rsidR="001D44E9" w:rsidRPr="008A2C62" w:rsidRDefault="00F240B5" w:rsidP="000C5CA9">
      <w:pPr>
        <w:spacing w:line="480" w:lineRule="auto"/>
        <w:ind w:firstLine="720"/>
        <w:rPr>
          <w:sz w:val="22"/>
          <w:szCs w:val="22"/>
        </w:rPr>
      </w:pPr>
      <w:r w:rsidRPr="008A2C62">
        <w:rPr>
          <w:sz w:val="22"/>
          <w:szCs w:val="22"/>
        </w:rPr>
        <w:t xml:space="preserve">The evangelist’s matter-of-fact and somewhat laconic account of the encounter puts the surprise ending at the beginning.  The stranger is in fact </w:t>
      </w:r>
      <w:proofErr w:type="spellStart"/>
      <w:r w:rsidRPr="008A2C62">
        <w:rPr>
          <w:sz w:val="22"/>
          <w:szCs w:val="22"/>
        </w:rPr>
        <w:t>Yeshua</w:t>
      </w:r>
      <w:proofErr w:type="spellEnd"/>
      <w:r w:rsidRPr="008A2C62">
        <w:rPr>
          <w:sz w:val="22"/>
          <w:szCs w:val="22"/>
        </w:rPr>
        <w:t xml:space="preserve"> Himself returned</w:t>
      </w:r>
      <w:r w:rsidR="00133015" w:rsidRPr="008A2C62">
        <w:rPr>
          <w:sz w:val="22"/>
          <w:szCs w:val="22"/>
        </w:rPr>
        <w:t xml:space="preserve"> from the dead, and is in fact</w:t>
      </w:r>
      <w:r w:rsidRPr="008A2C62">
        <w:rPr>
          <w:sz w:val="22"/>
          <w:szCs w:val="22"/>
        </w:rPr>
        <w:t xml:space="preserve"> God.  ‘And starting from Moses and from all the prophets,’ the evangelist writes, ‘He expounded to them in all the Writings those things about Himself.’</w:t>
      </w:r>
      <w:r w:rsidRPr="008A2C62">
        <w:rPr>
          <w:rStyle w:val="FootnoteReference"/>
          <w:sz w:val="22"/>
          <w:szCs w:val="22"/>
        </w:rPr>
        <w:footnoteReference w:id="1"/>
      </w:r>
      <w:r w:rsidRPr="008A2C62">
        <w:rPr>
          <w:sz w:val="22"/>
          <w:szCs w:val="22"/>
        </w:rPr>
        <w:t xml:space="preserve">  </w:t>
      </w:r>
    </w:p>
    <w:p w:rsidR="00F240B5" w:rsidRPr="008A2C62" w:rsidRDefault="00F240B5" w:rsidP="000C5CA9">
      <w:pPr>
        <w:spacing w:line="480" w:lineRule="auto"/>
        <w:ind w:firstLine="720"/>
        <w:rPr>
          <w:sz w:val="22"/>
          <w:szCs w:val="22"/>
        </w:rPr>
      </w:pPr>
      <w:r w:rsidRPr="008A2C62">
        <w:rPr>
          <w:sz w:val="22"/>
          <w:szCs w:val="22"/>
        </w:rPr>
        <w:t>Theological education began with God quietly explaining redemption to two bewildered wayfarers.</w:t>
      </w:r>
    </w:p>
    <w:p w:rsidR="00F240B5" w:rsidRPr="008A2C62" w:rsidRDefault="00F240B5" w:rsidP="000C5CA9">
      <w:pPr>
        <w:spacing w:line="480" w:lineRule="auto"/>
        <w:ind w:firstLine="720"/>
        <w:rPr>
          <w:sz w:val="22"/>
          <w:szCs w:val="22"/>
        </w:rPr>
      </w:pPr>
      <w:r w:rsidRPr="008A2C62">
        <w:rPr>
          <w:sz w:val="22"/>
          <w:szCs w:val="22"/>
        </w:rPr>
        <w:t>From its genesis on the road to Emmaus, theological education has gone the proverbial way of all flesh.  The dominance of Christianity in the ideological West allowed theological education to participate in the wild upheaval</w:t>
      </w:r>
      <w:r w:rsidR="00C42E72" w:rsidRPr="008A2C62">
        <w:rPr>
          <w:sz w:val="22"/>
          <w:szCs w:val="22"/>
        </w:rPr>
        <w:t>s</w:t>
      </w:r>
      <w:r w:rsidRPr="008A2C62">
        <w:rPr>
          <w:sz w:val="22"/>
          <w:szCs w:val="22"/>
        </w:rPr>
        <w:t xml:space="preserve"> of Western thought.  So when in the mid-twentieth century the Western world at large stopped warring and rioting just long enough to wonder if it had really ‘arrived’ after all, theological education became the subject of a similar inquiry.</w:t>
      </w:r>
      <w:r w:rsidRPr="008A2C62">
        <w:rPr>
          <w:rStyle w:val="FootnoteReference"/>
          <w:sz w:val="22"/>
          <w:szCs w:val="22"/>
        </w:rPr>
        <w:footnoteReference w:id="2"/>
      </w:r>
      <w:r w:rsidRPr="008A2C62">
        <w:rPr>
          <w:sz w:val="22"/>
          <w:szCs w:val="22"/>
        </w:rPr>
        <w:t xml:space="preserve">  Educators from all gradations of faith found themselves strung on the tension between the need to inform theological students intellectually and the need to form them spiritually.  </w:t>
      </w:r>
    </w:p>
    <w:p w:rsidR="00F240B5" w:rsidRPr="008A2C62" w:rsidRDefault="00F240B5" w:rsidP="000C5CA9">
      <w:pPr>
        <w:spacing w:line="480" w:lineRule="auto"/>
        <w:ind w:firstLine="720"/>
        <w:rPr>
          <w:sz w:val="22"/>
          <w:szCs w:val="22"/>
        </w:rPr>
      </w:pPr>
      <w:r w:rsidRPr="008A2C62">
        <w:rPr>
          <w:sz w:val="22"/>
          <w:szCs w:val="22"/>
        </w:rPr>
        <w:t xml:space="preserve">The usual storm of monographs, articles, and professional studies followed.  Notably, the World Council of Churches (WCC) and the Association of Theological Schools (ATS) both conducted major </w:t>
      </w:r>
      <w:r w:rsidRPr="008A2C62">
        <w:rPr>
          <w:sz w:val="22"/>
          <w:szCs w:val="22"/>
        </w:rPr>
        <w:lastRenderedPageBreak/>
        <w:t>studies and conferences to address the issue, and the Roman Catholic Church brooked the matter in no less a venue than Vatican II, followed by further synods and an apostolic exhortation from Pope John Paul II.</w:t>
      </w:r>
      <w:r w:rsidRPr="008A2C62">
        <w:rPr>
          <w:rStyle w:val="FootnoteReference"/>
          <w:sz w:val="22"/>
          <w:szCs w:val="22"/>
        </w:rPr>
        <w:footnoteReference w:id="3"/>
      </w:r>
    </w:p>
    <w:p w:rsidR="00F240B5" w:rsidRPr="008A2C62" w:rsidRDefault="00F240B5" w:rsidP="000C5CA9">
      <w:pPr>
        <w:spacing w:line="480" w:lineRule="auto"/>
        <w:ind w:firstLine="720"/>
        <w:rPr>
          <w:sz w:val="22"/>
          <w:szCs w:val="22"/>
        </w:rPr>
      </w:pPr>
      <w:r w:rsidRPr="008A2C62">
        <w:rPr>
          <w:sz w:val="22"/>
          <w:szCs w:val="22"/>
        </w:rPr>
        <w:t>This congenial</w:t>
      </w:r>
      <w:r w:rsidRPr="008A2C62">
        <w:rPr>
          <w:rStyle w:val="FootnoteReference"/>
          <w:sz w:val="22"/>
          <w:szCs w:val="22"/>
        </w:rPr>
        <w:footnoteReference w:id="4"/>
      </w:r>
      <w:r w:rsidRPr="008A2C62">
        <w:rPr>
          <w:sz w:val="22"/>
          <w:szCs w:val="22"/>
        </w:rPr>
        <w:t xml:space="preserve"> foment of opinion isolated </w:t>
      </w:r>
      <w:r w:rsidR="00935523" w:rsidRPr="008A2C62">
        <w:rPr>
          <w:sz w:val="22"/>
          <w:szCs w:val="22"/>
        </w:rPr>
        <w:t>three</w:t>
      </w:r>
      <w:r w:rsidRPr="008A2C62">
        <w:rPr>
          <w:sz w:val="22"/>
          <w:szCs w:val="22"/>
        </w:rPr>
        <w:t xml:space="preserve"> integral </w:t>
      </w:r>
      <w:r w:rsidR="008A3791" w:rsidRPr="008A2C62">
        <w:rPr>
          <w:sz w:val="22"/>
          <w:szCs w:val="22"/>
        </w:rPr>
        <w:t>elements</w:t>
      </w:r>
      <w:r w:rsidRPr="008A2C62">
        <w:rPr>
          <w:sz w:val="22"/>
          <w:szCs w:val="22"/>
        </w:rPr>
        <w:t xml:space="preserve"> </w:t>
      </w:r>
      <w:r w:rsidR="00935523" w:rsidRPr="008A2C62">
        <w:rPr>
          <w:sz w:val="22"/>
          <w:szCs w:val="22"/>
        </w:rPr>
        <w:t>to the conflict</w:t>
      </w:r>
      <w:r w:rsidRPr="008A2C62">
        <w:rPr>
          <w:sz w:val="22"/>
          <w:szCs w:val="22"/>
        </w:rPr>
        <w:t xml:space="preserve"> between information and formation</w:t>
      </w:r>
      <w:r w:rsidR="008A3791" w:rsidRPr="008A2C62">
        <w:rPr>
          <w:sz w:val="22"/>
          <w:szCs w:val="22"/>
        </w:rPr>
        <w:t>: the students, the faculty, and the curriculum</w:t>
      </w:r>
      <w:r w:rsidRPr="008A2C62">
        <w:rPr>
          <w:sz w:val="22"/>
          <w:szCs w:val="22"/>
        </w:rPr>
        <w:t xml:space="preserve">.  They are simultaneously the fragments of the problem and the key to their own unification.  Together they form the essential </w:t>
      </w:r>
      <w:r w:rsidR="00935523" w:rsidRPr="008A2C62">
        <w:rPr>
          <w:sz w:val="22"/>
          <w:szCs w:val="22"/>
        </w:rPr>
        <w:t>core</w:t>
      </w:r>
      <w:r w:rsidRPr="008A2C62">
        <w:rPr>
          <w:sz w:val="22"/>
          <w:szCs w:val="22"/>
        </w:rPr>
        <w:t xml:space="preserve"> of theological education.  Remarkably, they do not include God.</w:t>
      </w:r>
    </w:p>
    <w:p w:rsidR="00F240B5" w:rsidRPr="008A2C62" w:rsidRDefault="008F64A7" w:rsidP="000C5CA9">
      <w:pPr>
        <w:spacing w:line="480" w:lineRule="auto"/>
        <w:ind w:firstLine="720"/>
        <w:rPr>
          <w:sz w:val="22"/>
          <w:szCs w:val="22"/>
        </w:rPr>
      </w:pPr>
      <w:r w:rsidRPr="008A2C62">
        <w:rPr>
          <w:sz w:val="22"/>
          <w:szCs w:val="22"/>
        </w:rPr>
        <w:t xml:space="preserve">This </w:t>
      </w:r>
      <w:r w:rsidR="00F240B5" w:rsidRPr="008A2C62">
        <w:rPr>
          <w:sz w:val="22"/>
          <w:szCs w:val="22"/>
        </w:rPr>
        <w:t xml:space="preserve">is a </w:t>
      </w:r>
      <w:r w:rsidRPr="008A2C62">
        <w:rPr>
          <w:sz w:val="22"/>
          <w:szCs w:val="22"/>
        </w:rPr>
        <w:t>search</w:t>
      </w:r>
      <w:r w:rsidR="00F240B5" w:rsidRPr="008A2C62">
        <w:rPr>
          <w:sz w:val="22"/>
          <w:szCs w:val="22"/>
        </w:rPr>
        <w:t xml:space="preserve"> to find out why.</w:t>
      </w:r>
      <w:r w:rsidR="008E1217">
        <w:rPr>
          <w:sz w:val="22"/>
          <w:szCs w:val="22"/>
        </w:rPr>
        <w:t xml:space="preserve"> </w:t>
      </w:r>
      <w:r w:rsidR="00F240B5" w:rsidRPr="008A2C62">
        <w:rPr>
          <w:sz w:val="22"/>
          <w:szCs w:val="22"/>
        </w:rPr>
        <w:t xml:space="preserve">This search is unique in that it flows unashamedly from the mind of a twenty-something arts geek – not a practitioner of theological education, but a consumer of it.  </w:t>
      </w:r>
      <w:r w:rsidR="00133015" w:rsidRPr="008A2C62">
        <w:rPr>
          <w:sz w:val="22"/>
          <w:szCs w:val="22"/>
        </w:rPr>
        <w:t xml:space="preserve">More significantly, it is a deregulated </w:t>
      </w:r>
      <w:r w:rsidR="00F240B5" w:rsidRPr="008A2C62">
        <w:rPr>
          <w:sz w:val="22"/>
          <w:szCs w:val="22"/>
        </w:rPr>
        <w:t xml:space="preserve">attempt from within the post-modern epoch of the Starbucks generation to explore an educational model </w:t>
      </w:r>
      <w:r w:rsidR="008A2C62">
        <w:rPr>
          <w:sz w:val="22"/>
          <w:szCs w:val="22"/>
        </w:rPr>
        <w:t>from</w:t>
      </w:r>
      <w:r w:rsidR="00F240B5" w:rsidRPr="008A2C62">
        <w:rPr>
          <w:sz w:val="22"/>
          <w:szCs w:val="22"/>
        </w:rPr>
        <w:t xml:space="preserve"> </w:t>
      </w:r>
      <w:r w:rsidR="001B53EE" w:rsidRPr="008A2C62">
        <w:rPr>
          <w:sz w:val="22"/>
          <w:szCs w:val="22"/>
        </w:rPr>
        <w:t xml:space="preserve">the context of </w:t>
      </w:r>
      <w:r w:rsidR="00F240B5" w:rsidRPr="008A2C62">
        <w:rPr>
          <w:sz w:val="22"/>
          <w:szCs w:val="22"/>
        </w:rPr>
        <w:t xml:space="preserve">its own generational experience.  It is not an attempt to speak </w:t>
      </w:r>
      <w:r w:rsidR="00F240B5" w:rsidRPr="008A2C62">
        <w:rPr>
          <w:i/>
          <w:sz w:val="22"/>
          <w:szCs w:val="22"/>
        </w:rPr>
        <w:t>ex cathedra</w:t>
      </w:r>
      <w:r w:rsidR="00F240B5" w:rsidRPr="008A2C62">
        <w:rPr>
          <w:sz w:val="22"/>
          <w:szCs w:val="22"/>
        </w:rPr>
        <w:t xml:space="preserve"> for all humans under the age of thirty, but an attempt to speak as one of their own, and search the ground between formation and information from a place of immediate sympathy with them.</w:t>
      </w:r>
    </w:p>
    <w:p w:rsidR="0028427B" w:rsidRDefault="00F240B5" w:rsidP="000C5CA9">
      <w:pPr>
        <w:spacing w:line="480" w:lineRule="auto"/>
        <w:ind w:firstLine="720"/>
        <w:rPr>
          <w:sz w:val="22"/>
          <w:szCs w:val="22"/>
        </w:rPr>
      </w:pPr>
      <w:r w:rsidRPr="008A2C62">
        <w:rPr>
          <w:sz w:val="22"/>
          <w:szCs w:val="22"/>
        </w:rPr>
        <w:t>And it is an attempt to bring God back into the discussion.</w:t>
      </w:r>
    </w:p>
    <w:p w:rsidR="008A2C62" w:rsidRDefault="008A2C62" w:rsidP="000C5CA9">
      <w:pPr>
        <w:spacing w:line="480" w:lineRule="auto"/>
        <w:ind w:right="-9" w:firstLine="720"/>
        <w:rPr>
          <w:sz w:val="22"/>
          <w:szCs w:val="22"/>
        </w:rPr>
      </w:pPr>
    </w:p>
    <w:p w:rsidR="008F64A7" w:rsidRPr="008A2C62" w:rsidRDefault="00EA74C2" w:rsidP="000C5CA9">
      <w:pPr>
        <w:spacing w:line="480" w:lineRule="auto"/>
        <w:ind w:right="-9" w:firstLine="720"/>
        <w:rPr>
          <w:sz w:val="22"/>
          <w:szCs w:val="22"/>
        </w:rPr>
      </w:pPr>
      <w:r w:rsidRPr="008A2C62">
        <w:rPr>
          <w:sz w:val="22"/>
          <w:szCs w:val="22"/>
        </w:rPr>
        <w:t xml:space="preserve">‘The term “Theological Education”’ wrote </w:t>
      </w:r>
      <w:proofErr w:type="spellStart"/>
      <w:r w:rsidRPr="008A2C62">
        <w:rPr>
          <w:sz w:val="22"/>
          <w:szCs w:val="22"/>
        </w:rPr>
        <w:t>Einike</w:t>
      </w:r>
      <w:proofErr w:type="spellEnd"/>
      <w:r w:rsidRPr="008A2C62">
        <w:rPr>
          <w:sz w:val="22"/>
          <w:szCs w:val="22"/>
        </w:rPr>
        <w:t xml:space="preserve"> Pilli, ‘has two parts – theological and education,</w:t>
      </w:r>
      <w:r w:rsidR="00133015" w:rsidRPr="008A2C62">
        <w:rPr>
          <w:sz w:val="22"/>
          <w:szCs w:val="22"/>
        </w:rPr>
        <w:t xml:space="preserve"> </w:t>
      </w:r>
      <w:r w:rsidR="001A588C" w:rsidRPr="008A2C62">
        <w:rPr>
          <w:sz w:val="22"/>
          <w:szCs w:val="22"/>
        </w:rPr>
        <w:t>which can be separated.’</w:t>
      </w:r>
      <w:r w:rsidR="001A588C" w:rsidRPr="008A2C62">
        <w:rPr>
          <w:rStyle w:val="FootnoteReference"/>
          <w:sz w:val="22"/>
          <w:szCs w:val="22"/>
        </w:rPr>
        <w:footnoteReference w:id="5"/>
      </w:r>
      <w:r w:rsidRPr="008A2C62">
        <w:rPr>
          <w:sz w:val="22"/>
          <w:szCs w:val="22"/>
        </w:rPr>
        <w:t xml:space="preserve">  </w:t>
      </w:r>
    </w:p>
    <w:p w:rsidR="007010A4" w:rsidRPr="008A2C62" w:rsidRDefault="00133015" w:rsidP="000C5CA9">
      <w:pPr>
        <w:spacing w:line="480" w:lineRule="auto"/>
        <w:ind w:right="-9" w:firstLine="720"/>
        <w:rPr>
          <w:sz w:val="22"/>
          <w:szCs w:val="22"/>
        </w:rPr>
      </w:pPr>
      <w:r w:rsidRPr="008A2C62">
        <w:rPr>
          <w:sz w:val="22"/>
          <w:szCs w:val="22"/>
        </w:rPr>
        <w:t>Controversial as this straightforward delineation may be</w:t>
      </w:r>
      <w:r w:rsidR="00322912" w:rsidRPr="008A2C62">
        <w:rPr>
          <w:sz w:val="22"/>
          <w:szCs w:val="22"/>
        </w:rPr>
        <w:t xml:space="preserve">, Pilli is not far from the mark.  </w:t>
      </w:r>
      <w:r w:rsidR="00935523" w:rsidRPr="008A2C62">
        <w:rPr>
          <w:sz w:val="22"/>
          <w:szCs w:val="22"/>
        </w:rPr>
        <w:t>Over and against the theological nature of theological education</w:t>
      </w:r>
      <w:r w:rsidR="008A2C62">
        <w:rPr>
          <w:sz w:val="22"/>
          <w:szCs w:val="22"/>
        </w:rPr>
        <w:t xml:space="preserve"> stands</w:t>
      </w:r>
      <w:r w:rsidR="00935523" w:rsidRPr="008A2C62">
        <w:rPr>
          <w:sz w:val="22"/>
          <w:szCs w:val="22"/>
        </w:rPr>
        <w:t xml:space="preserve"> its educational nature.  For one thing, theological education must be considered </w:t>
      </w:r>
      <w:r w:rsidRPr="008A2C62">
        <w:rPr>
          <w:sz w:val="22"/>
          <w:szCs w:val="22"/>
        </w:rPr>
        <w:t xml:space="preserve">theologically </w:t>
      </w:r>
      <w:r w:rsidR="00935523" w:rsidRPr="008A2C62">
        <w:rPr>
          <w:sz w:val="22"/>
          <w:szCs w:val="22"/>
        </w:rPr>
        <w:t>from a theoretical standpoint, weighed against the purpose and nature of the Kingdom of God.  For another, theological educat</w:t>
      </w:r>
      <w:r w:rsidR="008A2C62">
        <w:rPr>
          <w:sz w:val="22"/>
          <w:szCs w:val="22"/>
        </w:rPr>
        <w:t>ion</w:t>
      </w:r>
      <w:r w:rsidR="00935523" w:rsidRPr="008A2C62">
        <w:rPr>
          <w:sz w:val="22"/>
          <w:szCs w:val="22"/>
        </w:rPr>
        <w:t xml:space="preserve"> must be assessed </w:t>
      </w:r>
      <w:r w:rsidRPr="008A2C62">
        <w:rPr>
          <w:sz w:val="22"/>
          <w:szCs w:val="22"/>
        </w:rPr>
        <w:t xml:space="preserve">practically </w:t>
      </w:r>
      <w:r w:rsidR="00935523" w:rsidRPr="008A2C62">
        <w:rPr>
          <w:sz w:val="22"/>
          <w:szCs w:val="22"/>
        </w:rPr>
        <w:t xml:space="preserve">from </w:t>
      </w:r>
      <w:proofErr w:type="spellStart"/>
      <w:proofErr w:type="gramStart"/>
      <w:r w:rsidR="00935523" w:rsidRPr="008A2C62">
        <w:rPr>
          <w:sz w:val="22"/>
          <w:szCs w:val="22"/>
        </w:rPr>
        <w:t>a</w:t>
      </w:r>
      <w:proofErr w:type="spellEnd"/>
      <w:proofErr w:type="gramEnd"/>
      <w:r w:rsidR="00935523" w:rsidRPr="008A2C62">
        <w:rPr>
          <w:sz w:val="22"/>
          <w:szCs w:val="22"/>
        </w:rPr>
        <w:t xml:space="preserve"> </w:t>
      </w:r>
      <w:r w:rsidRPr="008A2C62">
        <w:rPr>
          <w:sz w:val="22"/>
          <w:szCs w:val="22"/>
        </w:rPr>
        <w:t>educational</w:t>
      </w:r>
      <w:r w:rsidR="00935523" w:rsidRPr="008A2C62">
        <w:rPr>
          <w:sz w:val="22"/>
          <w:szCs w:val="22"/>
        </w:rPr>
        <w:t xml:space="preserve"> standpoint; some of the theories that look best on the bookshelf simply will not work in a world of people, </w:t>
      </w:r>
      <w:r w:rsidR="008A2C62" w:rsidRPr="008A2C62">
        <w:rPr>
          <w:sz w:val="22"/>
          <w:szCs w:val="22"/>
        </w:rPr>
        <w:t xml:space="preserve">questions, </w:t>
      </w:r>
      <w:r w:rsidR="00935523" w:rsidRPr="008A2C62">
        <w:rPr>
          <w:sz w:val="22"/>
          <w:szCs w:val="22"/>
        </w:rPr>
        <w:t xml:space="preserve">emotions, and cultures.  Even though both </w:t>
      </w:r>
      <w:r w:rsidR="008A2C62">
        <w:rPr>
          <w:sz w:val="22"/>
          <w:szCs w:val="22"/>
        </w:rPr>
        <w:t>elements</w:t>
      </w:r>
      <w:r w:rsidR="00935523" w:rsidRPr="008A2C62">
        <w:rPr>
          <w:sz w:val="22"/>
          <w:szCs w:val="22"/>
        </w:rPr>
        <w:t xml:space="preserve"> are </w:t>
      </w:r>
      <w:r w:rsidRPr="008A2C62">
        <w:rPr>
          <w:sz w:val="22"/>
          <w:szCs w:val="22"/>
        </w:rPr>
        <w:t>crucial</w:t>
      </w:r>
      <w:r w:rsidR="00935523" w:rsidRPr="008A2C62">
        <w:rPr>
          <w:sz w:val="22"/>
          <w:szCs w:val="22"/>
        </w:rPr>
        <w:t>, neither should supersede the other.  Every issue of theological education must flow through both filters</w:t>
      </w:r>
      <w:r w:rsidRPr="008A2C62">
        <w:rPr>
          <w:sz w:val="22"/>
          <w:szCs w:val="22"/>
        </w:rPr>
        <w:t xml:space="preserve"> </w:t>
      </w:r>
      <w:r w:rsidRPr="008A2C62">
        <w:rPr>
          <w:sz w:val="22"/>
          <w:szCs w:val="22"/>
        </w:rPr>
        <w:lastRenderedPageBreak/>
        <w:t>into cohesive unity</w:t>
      </w:r>
      <w:r w:rsidR="00935523" w:rsidRPr="008A2C62">
        <w:rPr>
          <w:sz w:val="22"/>
          <w:szCs w:val="22"/>
        </w:rPr>
        <w:t>, and so these two filters that will brew this discussion of the information/formation debate.</w:t>
      </w:r>
    </w:p>
    <w:p w:rsidR="007067AB" w:rsidRPr="008A2C62" w:rsidRDefault="007067AB" w:rsidP="000C5CA9">
      <w:pPr>
        <w:spacing w:line="480" w:lineRule="auto"/>
        <w:ind w:right="-9" w:firstLine="720"/>
        <w:rPr>
          <w:sz w:val="22"/>
          <w:szCs w:val="22"/>
        </w:rPr>
      </w:pPr>
      <w:r w:rsidRPr="008A2C62">
        <w:rPr>
          <w:sz w:val="22"/>
          <w:szCs w:val="22"/>
        </w:rPr>
        <w:t xml:space="preserve">A sweeping ecumenism seizes the debate </w:t>
      </w:r>
      <w:r w:rsidR="008A2C62">
        <w:rPr>
          <w:sz w:val="22"/>
          <w:szCs w:val="22"/>
        </w:rPr>
        <w:t>in</w:t>
      </w:r>
      <w:r w:rsidRPr="008A2C62">
        <w:rPr>
          <w:sz w:val="22"/>
          <w:szCs w:val="22"/>
        </w:rPr>
        <w:t xml:space="preserve"> the matter of the student.  Pope John Paul II described the theological student as ‘a necessary and irreplaceable agent in his own formation,’ adding that ‘all formation…is ultimately </w:t>
      </w:r>
      <w:proofErr w:type="spellStart"/>
      <w:r w:rsidRPr="008A2C62">
        <w:rPr>
          <w:sz w:val="22"/>
          <w:szCs w:val="22"/>
        </w:rPr>
        <w:t>self formation</w:t>
      </w:r>
      <w:proofErr w:type="spellEnd"/>
      <w:r w:rsidRPr="008A2C62">
        <w:rPr>
          <w:sz w:val="22"/>
          <w:szCs w:val="22"/>
        </w:rPr>
        <w:t>.’</w:t>
      </w:r>
      <w:r w:rsidRPr="008A2C62">
        <w:rPr>
          <w:rStyle w:val="FootnoteReference"/>
          <w:sz w:val="22"/>
          <w:szCs w:val="22"/>
        </w:rPr>
        <w:footnoteReference w:id="6"/>
      </w:r>
      <w:r w:rsidRPr="008A2C62">
        <w:rPr>
          <w:sz w:val="22"/>
          <w:szCs w:val="22"/>
        </w:rPr>
        <w:t xml:space="preserve">  </w:t>
      </w:r>
      <w:r w:rsidR="000443A4" w:rsidRPr="008A2C62">
        <w:rPr>
          <w:sz w:val="22"/>
          <w:szCs w:val="22"/>
        </w:rPr>
        <w:t xml:space="preserve">The </w:t>
      </w:r>
      <w:r w:rsidR="003338D4" w:rsidRPr="008A2C62">
        <w:rPr>
          <w:sz w:val="22"/>
          <w:szCs w:val="22"/>
        </w:rPr>
        <w:t xml:space="preserve">Iona document, the </w:t>
      </w:r>
      <w:r w:rsidR="000443A4" w:rsidRPr="008A2C62">
        <w:rPr>
          <w:sz w:val="22"/>
          <w:szCs w:val="22"/>
        </w:rPr>
        <w:t>WCC</w:t>
      </w:r>
      <w:r w:rsidR="003338D4" w:rsidRPr="008A2C62">
        <w:rPr>
          <w:sz w:val="22"/>
          <w:szCs w:val="22"/>
        </w:rPr>
        <w:t xml:space="preserve">’s </w:t>
      </w:r>
      <w:r w:rsidR="008A2C62">
        <w:rPr>
          <w:sz w:val="22"/>
          <w:szCs w:val="22"/>
        </w:rPr>
        <w:t xml:space="preserve">watershed </w:t>
      </w:r>
      <w:r w:rsidR="003338D4" w:rsidRPr="008A2C62">
        <w:rPr>
          <w:sz w:val="22"/>
          <w:szCs w:val="22"/>
        </w:rPr>
        <w:t>contribution to the debate,</w:t>
      </w:r>
      <w:r w:rsidR="000443A4" w:rsidRPr="008A2C62">
        <w:rPr>
          <w:sz w:val="22"/>
          <w:szCs w:val="22"/>
        </w:rPr>
        <w:t xml:space="preserve"> observes that ‘nothing can be</w:t>
      </w:r>
      <w:r w:rsidR="003338D4" w:rsidRPr="008A2C62">
        <w:rPr>
          <w:sz w:val="22"/>
          <w:szCs w:val="22"/>
        </w:rPr>
        <w:t xml:space="preserve"> achieved without the active participation of the student.’</w:t>
      </w:r>
      <w:r w:rsidR="003338D4" w:rsidRPr="008A2C62">
        <w:rPr>
          <w:rStyle w:val="FootnoteReference"/>
          <w:sz w:val="22"/>
          <w:szCs w:val="22"/>
        </w:rPr>
        <w:footnoteReference w:id="7"/>
      </w:r>
      <w:r w:rsidR="003338D4" w:rsidRPr="008A2C62">
        <w:rPr>
          <w:sz w:val="22"/>
          <w:szCs w:val="22"/>
        </w:rPr>
        <w:t xml:space="preserve"> The chorus of popular opinion is quick to join in the refrain, agreeing that, regardless of how ever much time and money the academy pours into formation, ‘the student is ultimately responsible.’</w:t>
      </w:r>
      <w:r w:rsidR="003338D4" w:rsidRPr="008A2C62">
        <w:rPr>
          <w:rStyle w:val="FootnoteReference"/>
          <w:sz w:val="22"/>
          <w:szCs w:val="22"/>
        </w:rPr>
        <w:footnoteReference w:id="8"/>
      </w:r>
      <w:r w:rsidR="003338D4" w:rsidRPr="008A2C62">
        <w:rPr>
          <w:sz w:val="22"/>
          <w:szCs w:val="22"/>
        </w:rPr>
        <w:t xml:space="preserve">  </w:t>
      </w:r>
    </w:p>
    <w:p w:rsidR="000010DD" w:rsidRPr="008A2C62" w:rsidRDefault="008F778C" w:rsidP="000C5CA9">
      <w:pPr>
        <w:spacing w:line="480" w:lineRule="auto"/>
        <w:ind w:right="-9" w:firstLine="720"/>
        <w:rPr>
          <w:sz w:val="22"/>
          <w:szCs w:val="22"/>
        </w:rPr>
      </w:pPr>
      <w:r w:rsidRPr="008A2C62">
        <w:rPr>
          <w:sz w:val="22"/>
          <w:szCs w:val="22"/>
        </w:rPr>
        <w:t xml:space="preserve">This, however, presents a difficulty.  </w:t>
      </w:r>
      <w:r w:rsidR="00827D41" w:rsidRPr="008A2C62">
        <w:rPr>
          <w:sz w:val="22"/>
          <w:szCs w:val="22"/>
        </w:rPr>
        <w:t xml:space="preserve">The prevailing lament of the </w:t>
      </w:r>
      <w:r w:rsidR="007E16E3" w:rsidRPr="008A2C62">
        <w:rPr>
          <w:sz w:val="22"/>
          <w:szCs w:val="22"/>
        </w:rPr>
        <w:t>discussion is the desire to inform the student conflicting with the need to form him.  The ATS conferences identified a lack of long-term spiritual formation in the lives of most students.</w:t>
      </w:r>
      <w:r w:rsidR="007E16E3" w:rsidRPr="008A2C62">
        <w:rPr>
          <w:rStyle w:val="FootnoteReference"/>
          <w:sz w:val="22"/>
          <w:szCs w:val="22"/>
        </w:rPr>
        <w:footnoteReference w:id="9"/>
      </w:r>
      <w:r w:rsidR="003E2DBD" w:rsidRPr="008A2C62">
        <w:rPr>
          <w:sz w:val="22"/>
          <w:szCs w:val="22"/>
        </w:rPr>
        <w:t xml:space="preserve">  </w:t>
      </w:r>
      <w:r w:rsidR="00133015" w:rsidRPr="008A2C62">
        <w:rPr>
          <w:sz w:val="22"/>
          <w:szCs w:val="22"/>
        </w:rPr>
        <w:t xml:space="preserve">Robert </w:t>
      </w:r>
      <w:r w:rsidR="003E2DBD" w:rsidRPr="008A2C62">
        <w:rPr>
          <w:sz w:val="22"/>
          <w:szCs w:val="22"/>
        </w:rPr>
        <w:t>Banks writes that ‘many students know little about their Christian tradition,’ and are often already ‘burned out’ on arrival.</w:t>
      </w:r>
      <w:r w:rsidR="003E2DBD" w:rsidRPr="008A2C62">
        <w:rPr>
          <w:rStyle w:val="FootnoteReference"/>
          <w:sz w:val="22"/>
          <w:szCs w:val="22"/>
        </w:rPr>
        <w:footnoteReference w:id="10"/>
      </w:r>
      <w:r w:rsidR="003E2DBD" w:rsidRPr="008A2C62">
        <w:rPr>
          <w:sz w:val="22"/>
          <w:szCs w:val="22"/>
        </w:rPr>
        <w:t xml:space="preserve">  </w:t>
      </w:r>
    </w:p>
    <w:p w:rsidR="003338D4" w:rsidRPr="008A2C62" w:rsidRDefault="003E2DBD" w:rsidP="000C5CA9">
      <w:pPr>
        <w:spacing w:line="480" w:lineRule="auto"/>
        <w:ind w:right="-9" w:firstLine="720"/>
        <w:rPr>
          <w:sz w:val="22"/>
          <w:szCs w:val="22"/>
        </w:rPr>
      </w:pPr>
      <w:r w:rsidRPr="008A2C62">
        <w:rPr>
          <w:sz w:val="22"/>
          <w:szCs w:val="22"/>
        </w:rPr>
        <w:t xml:space="preserve">Once at the school, </w:t>
      </w:r>
      <w:r w:rsidR="005D2A7C" w:rsidRPr="008A2C62">
        <w:rPr>
          <w:sz w:val="22"/>
          <w:szCs w:val="22"/>
        </w:rPr>
        <w:t xml:space="preserve">students find themselves overwhelmed with often conflicting assignments, requirements, and </w:t>
      </w:r>
      <w:r w:rsidR="003F2C23" w:rsidRPr="008A2C62">
        <w:rPr>
          <w:sz w:val="22"/>
          <w:szCs w:val="22"/>
        </w:rPr>
        <w:t>responsibilities</w:t>
      </w:r>
      <w:r w:rsidR="005D2A7C" w:rsidRPr="008A2C62">
        <w:rPr>
          <w:sz w:val="22"/>
          <w:szCs w:val="22"/>
        </w:rPr>
        <w:t xml:space="preserve"> to various departments and various disciplines</w:t>
      </w:r>
      <w:r w:rsidR="003F2C23" w:rsidRPr="008A2C62">
        <w:rPr>
          <w:sz w:val="22"/>
          <w:szCs w:val="22"/>
        </w:rPr>
        <w:t>, usually without any evident connection one with the other</w:t>
      </w:r>
      <w:r w:rsidR="005D2A7C" w:rsidRPr="008A2C62">
        <w:rPr>
          <w:sz w:val="22"/>
          <w:szCs w:val="22"/>
        </w:rPr>
        <w:t xml:space="preserve">.  </w:t>
      </w:r>
      <w:r w:rsidR="000010DD" w:rsidRPr="008A2C62">
        <w:rPr>
          <w:sz w:val="22"/>
          <w:szCs w:val="22"/>
        </w:rPr>
        <w:t xml:space="preserve">Henri </w:t>
      </w:r>
      <w:proofErr w:type="spellStart"/>
      <w:r w:rsidR="000010DD" w:rsidRPr="008A2C62">
        <w:rPr>
          <w:sz w:val="22"/>
          <w:szCs w:val="22"/>
        </w:rPr>
        <w:t>Nouwen</w:t>
      </w:r>
      <w:proofErr w:type="spellEnd"/>
      <w:r w:rsidR="000010DD" w:rsidRPr="008A2C62">
        <w:rPr>
          <w:sz w:val="22"/>
          <w:szCs w:val="22"/>
        </w:rPr>
        <w:t xml:space="preserve"> rightly observed, ‘Practically every student perceives his education as a long endless row of obligations to be fulfilled.’</w:t>
      </w:r>
      <w:r w:rsidR="000010DD" w:rsidRPr="008A2C62">
        <w:rPr>
          <w:rStyle w:val="FootnoteReference"/>
          <w:sz w:val="22"/>
          <w:szCs w:val="22"/>
        </w:rPr>
        <w:footnoteReference w:id="11"/>
      </w:r>
    </w:p>
    <w:p w:rsidR="000010DD" w:rsidRPr="008A2C62" w:rsidRDefault="000010DD" w:rsidP="000C5CA9">
      <w:pPr>
        <w:spacing w:line="480" w:lineRule="auto"/>
        <w:ind w:right="-9" w:firstLine="720"/>
        <w:rPr>
          <w:sz w:val="22"/>
          <w:szCs w:val="22"/>
        </w:rPr>
      </w:pPr>
      <w:proofErr w:type="gramStart"/>
      <w:r w:rsidRPr="008A2C62">
        <w:rPr>
          <w:sz w:val="22"/>
          <w:szCs w:val="22"/>
        </w:rPr>
        <w:t>So theological education finds itself in a mind-numbing dilemma.</w:t>
      </w:r>
      <w:proofErr w:type="gramEnd"/>
      <w:r w:rsidRPr="008A2C62">
        <w:rPr>
          <w:sz w:val="22"/>
          <w:szCs w:val="22"/>
        </w:rPr>
        <w:t xml:space="preserve">  The students are </w:t>
      </w:r>
      <w:r w:rsidR="00133015" w:rsidRPr="008A2C62">
        <w:rPr>
          <w:sz w:val="22"/>
          <w:szCs w:val="22"/>
        </w:rPr>
        <w:t xml:space="preserve">chiefly </w:t>
      </w:r>
      <w:r w:rsidRPr="008A2C62">
        <w:rPr>
          <w:sz w:val="22"/>
          <w:szCs w:val="22"/>
        </w:rPr>
        <w:t xml:space="preserve">responsible for their own formation, but they are also too </w:t>
      </w:r>
      <w:r w:rsidR="003F2C23" w:rsidRPr="008A2C62">
        <w:rPr>
          <w:sz w:val="22"/>
          <w:szCs w:val="22"/>
        </w:rPr>
        <w:t>spiritually malnourished</w:t>
      </w:r>
      <w:r w:rsidRPr="008A2C62">
        <w:rPr>
          <w:sz w:val="22"/>
          <w:szCs w:val="22"/>
        </w:rPr>
        <w:t xml:space="preserve"> and too </w:t>
      </w:r>
      <w:r w:rsidR="003F2C23" w:rsidRPr="008A2C62">
        <w:rPr>
          <w:sz w:val="22"/>
          <w:szCs w:val="22"/>
        </w:rPr>
        <w:t xml:space="preserve">regularly </w:t>
      </w:r>
      <w:r w:rsidRPr="008A2C62">
        <w:rPr>
          <w:sz w:val="22"/>
          <w:szCs w:val="22"/>
        </w:rPr>
        <w:t>overwhelmed to be able to do much about it.</w:t>
      </w:r>
      <w:r w:rsidR="003F2C23" w:rsidRPr="008A2C62">
        <w:rPr>
          <w:sz w:val="22"/>
          <w:szCs w:val="22"/>
        </w:rPr>
        <w:t xml:space="preserve">  They are swept up in the </w:t>
      </w:r>
      <w:r w:rsidR="00133015" w:rsidRPr="008A2C62">
        <w:rPr>
          <w:sz w:val="22"/>
          <w:szCs w:val="22"/>
        </w:rPr>
        <w:t>pursuit</w:t>
      </w:r>
      <w:r w:rsidR="003F2C23" w:rsidRPr="008A2C62">
        <w:rPr>
          <w:sz w:val="22"/>
          <w:szCs w:val="22"/>
        </w:rPr>
        <w:t xml:space="preserve"> information, pinioned under the constant threat of social expectation and academic standing</w:t>
      </w:r>
      <w:r w:rsidR="00133015" w:rsidRPr="008A2C62">
        <w:rPr>
          <w:sz w:val="22"/>
          <w:szCs w:val="22"/>
        </w:rPr>
        <w:t xml:space="preserve">. </w:t>
      </w:r>
      <w:r w:rsidR="003F2C23" w:rsidRPr="008A2C62">
        <w:rPr>
          <w:sz w:val="22"/>
          <w:szCs w:val="22"/>
        </w:rPr>
        <w:t xml:space="preserve"> </w:t>
      </w:r>
      <w:r w:rsidR="00133015" w:rsidRPr="008A2C62">
        <w:rPr>
          <w:sz w:val="22"/>
          <w:szCs w:val="22"/>
        </w:rPr>
        <w:t>A</w:t>
      </w:r>
      <w:r w:rsidR="003F2C23" w:rsidRPr="008A2C62">
        <w:rPr>
          <w:sz w:val="22"/>
          <w:szCs w:val="22"/>
        </w:rPr>
        <w:t xml:space="preserve">nd so they leave formation to </w:t>
      </w:r>
      <w:r w:rsidR="003F2C23" w:rsidRPr="008A2C62">
        <w:rPr>
          <w:sz w:val="22"/>
          <w:szCs w:val="22"/>
        </w:rPr>
        <w:lastRenderedPageBreak/>
        <w:t xml:space="preserve">fend for </w:t>
      </w:r>
      <w:proofErr w:type="gramStart"/>
      <w:r w:rsidR="003F2C23" w:rsidRPr="008A2C62">
        <w:rPr>
          <w:sz w:val="22"/>
          <w:szCs w:val="22"/>
        </w:rPr>
        <w:t>itself</w:t>
      </w:r>
      <w:proofErr w:type="gramEnd"/>
      <w:r w:rsidR="003F2C23" w:rsidRPr="008A2C62">
        <w:rPr>
          <w:sz w:val="22"/>
          <w:szCs w:val="22"/>
        </w:rPr>
        <w:t>.</w:t>
      </w:r>
      <w:r w:rsidR="00E87809" w:rsidRPr="008A2C62">
        <w:rPr>
          <w:sz w:val="22"/>
          <w:szCs w:val="22"/>
        </w:rPr>
        <w:t xml:space="preserve">  Banks recalls a graduate telling him, ‘My time in seminary was, spiritually speaking, the driest time in my life.’</w:t>
      </w:r>
      <w:r w:rsidR="00E87809" w:rsidRPr="008A2C62">
        <w:rPr>
          <w:rStyle w:val="FootnoteReference"/>
          <w:sz w:val="22"/>
          <w:szCs w:val="22"/>
        </w:rPr>
        <w:footnoteReference w:id="12"/>
      </w:r>
    </w:p>
    <w:p w:rsidR="00133015" w:rsidRPr="008A2C62" w:rsidRDefault="003F2C23" w:rsidP="000C5CA9">
      <w:pPr>
        <w:spacing w:line="480" w:lineRule="auto"/>
        <w:ind w:right="-9" w:firstLine="720"/>
        <w:rPr>
          <w:sz w:val="22"/>
          <w:szCs w:val="22"/>
        </w:rPr>
      </w:pPr>
      <w:r w:rsidRPr="008A2C62">
        <w:rPr>
          <w:sz w:val="22"/>
          <w:szCs w:val="22"/>
        </w:rPr>
        <w:t xml:space="preserve">The faculty </w:t>
      </w:r>
      <w:r w:rsidR="007A554F" w:rsidRPr="008A2C62">
        <w:rPr>
          <w:sz w:val="22"/>
          <w:szCs w:val="22"/>
        </w:rPr>
        <w:t xml:space="preserve">often </w:t>
      </w:r>
      <w:r w:rsidRPr="008A2C62">
        <w:rPr>
          <w:sz w:val="22"/>
          <w:szCs w:val="22"/>
        </w:rPr>
        <w:t xml:space="preserve">find themselves </w:t>
      </w:r>
      <w:r w:rsidR="007A554F" w:rsidRPr="008A2C62">
        <w:rPr>
          <w:sz w:val="22"/>
          <w:szCs w:val="22"/>
        </w:rPr>
        <w:t>crushed in a similar vice.  The repeated emphases on the indispensability of the faculty in the role of formation is enough to guilt-trip any contentious soul</w:t>
      </w:r>
      <w:r w:rsidR="00A43490">
        <w:rPr>
          <w:sz w:val="22"/>
          <w:szCs w:val="22"/>
        </w:rPr>
        <w:t xml:space="preserve">, </w:t>
      </w:r>
      <w:r w:rsidR="007A554F" w:rsidRPr="008A2C62">
        <w:rPr>
          <w:sz w:val="22"/>
          <w:szCs w:val="22"/>
        </w:rPr>
        <w:t xml:space="preserve">faculty or not.  </w:t>
      </w:r>
    </w:p>
    <w:p w:rsidR="003F2C23" w:rsidRPr="008A2C62" w:rsidRDefault="007A554F" w:rsidP="000C5CA9">
      <w:pPr>
        <w:spacing w:line="480" w:lineRule="auto"/>
        <w:ind w:right="-9" w:firstLine="720"/>
        <w:rPr>
          <w:sz w:val="22"/>
          <w:szCs w:val="22"/>
        </w:rPr>
      </w:pPr>
      <w:r w:rsidRPr="008A2C62">
        <w:rPr>
          <w:sz w:val="22"/>
          <w:szCs w:val="22"/>
        </w:rPr>
        <w:t>As early as 1972, the ATS report declared, ‘The spiritual formation of seminary students begins with, and is dependent upon, the spiritual formation and development of the faculty.’</w:t>
      </w:r>
      <w:r w:rsidR="00B95758" w:rsidRPr="008A2C62">
        <w:rPr>
          <w:rStyle w:val="FootnoteReference"/>
          <w:sz w:val="22"/>
          <w:szCs w:val="22"/>
        </w:rPr>
        <w:footnoteReference w:id="13"/>
      </w:r>
      <w:r w:rsidR="00683393" w:rsidRPr="008A2C62">
        <w:rPr>
          <w:sz w:val="22"/>
          <w:szCs w:val="22"/>
        </w:rPr>
        <w:t xml:space="preserve">  More recently, Banks noted that formation ‘takes place mostly as a result of the learning effect of the personal example of teachers and other key figures…’</w:t>
      </w:r>
      <w:r w:rsidR="00683393" w:rsidRPr="008A2C62">
        <w:rPr>
          <w:rStyle w:val="FootnoteReference"/>
          <w:sz w:val="22"/>
          <w:szCs w:val="22"/>
        </w:rPr>
        <w:footnoteReference w:id="14"/>
      </w:r>
    </w:p>
    <w:p w:rsidR="00921A58" w:rsidRPr="008A2C62" w:rsidRDefault="00BB10A4" w:rsidP="000C5CA9">
      <w:pPr>
        <w:spacing w:line="480" w:lineRule="auto"/>
        <w:ind w:right="-9" w:firstLine="720"/>
        <w:rPr>
          <w:sz w:val="22"/>
          <w:szCs w:val="22"/>
        </w:rPr>
      </w:pPr>
      <w:r w:rsidRPr="008A2C62">
        <w:rPr>
          <w:sz w:val="22"/>
          <w:szCs w:val="22"/>
        </w:rPr>
        <w:t>But later the ATS would note that spiritual formation is often hindered because the faculty have not be</w:t>
      </w:r>
      <w:r w:rsidR="00133015" w:rsidRPr="008A2C62">
        <w:rPr>
          <w:sz w:val="22"/>
          <w:szCs w:val="22"/>
        </w:rPr>
        <w:t>en</w:t>
      </w:r>
      <w:r w:rsidRPr="008A2C62">
        <w:rPr>
          <w:sz w:val="22"/>
          <w:szCs w:val="22"/>
        </w:rPr>
        <w:t xml:space="preserve"> formed themselves.</w:t>
      </w:r>
      <w:r w:rsidRPr="008A2C62">
        <w:rPr>
          <w:rStyle w:val="FootnoteReference"/>
          <w:sz w:val="22"/>
          <w:szCs w:val="22"/>
        </w:rPr>
        <w:footnoteReference w:id="15"/>
      </w:r>
      <w:r w:rsidR="0061557C" w:rsidRPr="008A2C62">
        <w:rPr>
          <w:sz w:val="22"/>
          <w:szCs w:val="22"/>
        </w:rPr>
        <w:t xml:space="preserve">  They are, in essence, being asked to facilitate in the students something that has </w:t>
      </w:r>
      <w:r w:rsidR="00133015" w:rsidRPr="008A2C62">
        <w:rPr>
          <w:sz w:val="22"/>
          <w:szCs w:val="22"/>
        </w:rPr>
        <w:t>not</w:t>
      </w:r>
      <w:r w:rsidR="0061557C" w:rsidRPr="008A2C62">
        <w:rPr>
          <w:sz w:val="22"/>
          <w:szCs w:val="22"/>
        </w:rPr>
        <w:t xml:space="preserve"> been facilitated in them.  Rather than a loving community of academic </w:t>
      </w:r>
      <w:r w:rsidR="00A43490" w:rsidRPr="008A2C62">
        <w:rPr>
          <w:sz w:val="22"/>
          <w:szCs w:val="22"/>
        </w:rPr>
        <w:t>tranquillity</w:t>
      </w:r>
      <w:r w:rsidR="0061557C" w:rsidRPr="008A2C62">
        <w:rPr>
          <w:sz w:val="22"/>
          <w:szCs w:val="22"/>
        </w:rPr>
        <w:t xml:space="preserve">, </w:t>
      </w:r>
      <w:r w:rsidR="00A43490" w:rsidRPr="008A2C62">
        <w:rPr>
          <w:sz w:val="22"/>
          <w:szCs w:val="22"/>
        </w:rPr>
        <w:t>modelling</w:t>
      </w:r>
      <w:r w:rsidR="0061557C" w:rsidRPr="008A2C62">
        <w:rPr>
          <w:sz w:val="22"/>
          <w:szCs w:val="22"/>
        </w:rPr>
        <w:t xml:space="preserve"> in miniature the Kingdom of Heaven</w:t>
      </w:r>
      <w:r w:rsidR="00133015" w:rsidRPr="008A2C62">
        <w:rPr>
          <w:rStyle w:val="FootnoteReference"/>
          <w:sz w:val="22"/>
          <w:szCs w:val="22"/>
        </w:rPr>
        <w:footnoteReference w:id="16"/>
      </w:r>
      <w:r w:rsidR="0061557C" w:rsidRPr="008A2C62">
        <w:rPr>
          <w:sz w:val="22"/>
          <w:szCs w:val="22"/>
        </w:rPr>
        <w:t xml:space="preserve">, faculties often are places of rivalry, dispute, and suspicion, as teachers </w:t>
      </w:r>
      <w:r w:rsidR="00133015" w:rsidRPr="008A2C62">
        <w:rPr>
          <w:sz w:val="22"/>
          <w:szCs w:val="22"/>
        </w:rPr>
        <w:t>squabble</w:t>
      </w:r>
      <w:r w:rsidR="0061557C" w:rsidRPr="008A2C62">
        <w:rPr>
          <w:sz w:val="22"/>
          <w:szCs w:val="22"/>
        </w:rPr>
        <w:t xml:space="preserve"> for tenure and recognition.</w:t>
      </w:r>
      <w:r w:rsidR="0061557C" w:rsidRPr="008A2C62">
        <w:rPr>
          <w:rStyle w:val="FootnoteReference"/>
          <w:sz w:val="22"/>
          <w:szCs w:val="22"/>
        </w:rPr>
        <w:footnoteReference w:id="17"/>
      </w:r>
      <w:r w:rsidR="0061557C" w:rsidRPr="008A2C62">
        <w:rPr>
          <w:sz w:val="22"/>
          <w:szCs w:val="22"/>
        </w:rPr>
        <w:t xml:space="preserve">  </w:t>
      </w:r>
    </w:p>
    <w:p w:rsidR="000010DD" w:rsidRPr="008A2C62" w:rsidRDefault="0061557C" w:rsidP="000C5CA9">
      <w:pPr>
        <w:spacing w:line="480" w:lineRule="auto"/>
        <w:ind w:right="-9" w:firstLine="720"/>
        <w:rPr>
          <w:sz w:val="22"/>
          <w:szCs w:val="22"/>
        </w:rPr>
      </w:pPr>
      <w:r w:rsidRPr="008A2C62">
        <w:rPr>
          <w:sz w:val="22"/>
          <w:szCs w:val="22"/>
        </w:rPr>
        <w:t xml:space="preserve">Furthermore, </w:t>
      </w:r>
      <w:r w:rsidR="00E87809" w:rsidRPr="008A2C62">
        <w:rPr>
          <w:sz w:val="22"/>
          <w:szCs w:val="22"/>
        </w:rPr>
        <w:t>faculty</w:t>
      </w:r>
      <w:r w:rsidRPr="008A2C62">
        <w:rPr>
          <w:sz w:val="22"/>
          <w:szCs w:val="22"/>
        </w:rPr>
        <w:t xml:space="preserve"> are </w:t>
      </w:r>
      <w:r w:rsidR="00133015" w:rsidRPr="008A2C62">
        <w:rPr>
          <w:sz w:val="22"/>
          <w:szCs w:val="22"/>
        </w:rPr>
        <w:t>often</w:t>
      </w:r>
      <w:r w:rsidRPr="008A2C62">
        <w:rPr>
          <w:sz w:val="22"/>
          <w:szCs w:val="22"/>
        </w:rPr>
        <w:t xml:space="preserve"> as overwhelmed as the students, floundering </w:t>
      </w:r>
      <w:r w:rsidR="00C33552" w:rsidRPr="008A2C62">
        <w:rPr>
          <w:sz w:val="22"/>
          <w:szCs w:val="22"/>
        </w:rPr>
        <w:t>between</w:t>
      </w:r>
      <w:r w:rsidRPr="008A2C62">
        <w:rPr>
          <w:sz w:val="22"/>
          <w:szCs w:val="22"/>
        </w:rPr>
        <w:t xml:space="preserve"> lectures, research, </w:t>
      </w:r>
      <w:r w:rsidR="00C33552" w:rsidRPr="008A2C62">
        <w:rPr>
          <w:sz w:val="22"/>
          <w:szCs w:val="22"/>
        </w:rPr>
        <w:t>departmental expectations</w:t>
      </w:r>
      <w:r w:rsidRPr="008A2C62">
        <w:rPr>
          <w:sz w:val="22"/>
          <w:szCs w:val="22"/>
        </w:rPr>
        <w:t xml:space="preserve">, and private life.  </w:t>
      </w:r>
      <w:r w:rsidR="00E87809" w:rsidRPr="008A2C62">
        <w:rPr>
          <w:sz w:val="22"/>
          <w:szCs w:val="22"/>
        </w:rPr>
        <w:t xml:space="preserve">Banks </w:t>
      </w:r>
      <w:r w:rsidR="00133015" w:rsidRPr="008A2C62">
        <w:rPr>
          <w:sz w:val="22"/>
          <w:szCs w:val="22"/>
        </w:rPr>
        <w:t>rightly remarked,</w:t>
      </w:r>
      <w:r w:rsidR="00E87809" w:rsidRPr="008A2C62">
        <w:rPr>
          <w:sz w:val="22"/>
          <w:szCs w:val="22"/>
        </w:rPr>
        <w:t xml:space="preserve"> ‘Many faculty continue to feel inadequate in [the] area [of formation], sometime</w:t>
      </w:r>
      <w:r w:rsidR="00133015" w:rsidRPr="008A2C62">
        <w:rPr>
          <w:sz w:val="22"/>
          <w:szCs w:val="22"/>
        </w:rPr>
        <w:t>s</w:t>
      </w:r>
      <w:r w:rsidR="00E87809" w:rsidRPr="008A2C62">
        <w:rPr>
          <w:sz w:val="22"/>
          <w:szCs w:val="22"/>
        </w:rPr>
        <w:t xml:space="preserve"> because of time pressures, sometimes because they lack ability, and sometimes because they are not convinced it is their institution’s responsibility.’</w:t>
      </w:r>
      <w:r w:rsidR="00E87809" w:rsidRPr="008A2C62">
        <w:rPr>
          <w:rStyle w:val="FootnoteReference"/>
          <w:sz w:val="22"/>
          <w:szCs w:val="22"/>
        </w:rPr>
        <w:footnoteReference w:id="18"/>
      </w:r>
      <w:r w:rsidR="00E87809" w:rsidRPr="008A2C62">
        <w:rPr>
          <w:sz w:val="22"/>
          <w:szCs w:val="22"/>
        </w:rPr>
        <w:t xml:space="preserve">  In the words of one professor, ‘</w:t>
      </w:r>
      <w:r w:rsidR="00C33552" w:rsidRPr="008A2C62">
        <w:rPr>
          <w:sz w:val="22"/>
          <w:szCs w:val="22"/>
        </w:rPr>
        <w:t>We are not trained for, neither are we given the classroom time in our busy courses for pursuing the spiritual development of the student</w:t>
      </w:r>
      <w:r w:rsidR="00E87809" w:rsidRPr="008A2C62">
        <w:rPr>
          <w:sz w:val="22"/>
          <w:szCs w:val="22"/>
        </w:rPr>
        <w:t>s</w:t>
      </w:r>
      <w:r w:rsidR="00C33552" w:rsidRPr="008A2C62">
        <w:rPr>
          <w:sz w:val="22"/>
          <w:szCs w:val="22"/>
        </w:rPr>
        <w:t xml:space="preserve"> in this way.’</w:t>
      </w:r>
      <w:r w:rsidR="00C33552" w:rsidRPr="008A2C62">
        <w:rPr>
          <w:rStyle w:val="FootnoteReference"/>
          <w:sz w:val="22"/>
          <w:szCs w:val="22"/>
        </w:rPr>
        <w:footnoteReference w:id="19"/>
      </w:r>
    </w:p>
    <w:p w:rsidR="0054105C" w:rsidRPr="008A2C62" w:rsidRDefault="0054105C" w:rsidP="000C5CA9">
      <w:pPr>
        <w:spacing w:line="480" w:lineRule="auto"/>
        <w:ind w:right="-9" w:firstLine="720"/>
        <w:rPr>
          <w:sz w:val="22"/>
          <w:szCs w:val="22"/>
        </w:rPr>
      </w:pPr>
      <w:r w:rsidRPr="008A2C62">
        <w:rPr>
          <w:sz w:val="22"/>
          <w:szCs w:val="22"/>
        </w:rPr>
        <w:t>So the people most intimately concerned with formation – that is, the students and the faculty – are those with the least time and often the least interest to actually see it done.</w:t>
      </w:r>
    </w:p>
    <w:p w:rsidR="00133015" w:rsidRPr="008A2C62" w:rsidRDefault="00A43490" w:rsidP="000C5CA9">
      <w:pPr>
        <w:spacing w:line="480" w:lineRule="auto"/>
        <w:ind w:right="-9" w:firstLine="720"/>
        <w:rPr>
          <w:sz w:val="22"/>
          <w:szCs w:val="22"/>
        </w:rPr>
      </w:pPr>
      <w:r>
        <w:rPr>
          <w:sz w:val="22"/>
          <w:szCs w:val="22"/>
        </w:rPr>
        <w:lastRenderedPageBreak/>
        <w:t xml:space="preserve">Something is clearly </w:t>
      </w:r>
      <w:r w:rsidR="0054105C" w:rsidRPr="008A2C62">
        <w:rPr>
          <w:sz w:val="22"/>
          <w:szCs w:val="22"/>
        </w:rPr>
        <w:t>wrong.</w:t>
      </w:r>
      <w:r w:rsidR="00133015" w:rsidRPr="008A2C62">
        <w:rPr>
          <w:sz w:val="22"/>
          <w:szCs w:val="22"/>
        </w:rPr>
        <w:t xml:space="preserve">  </w:t>
      </w:r>
    </w:p>
    <w:p w:rsidR="001D44E9" w:rsidRPr="008A2C62" w:rsidRDefault="001D44E9" w:rsidP="000C5CA9">
      <w:pPr>
        <w:spacing w:line="480" w:lineRule="auto"/>
        <w:ind w:right="-9" w:firstLine="720"/>
        <w:rPr>
          <w:sz w:val="22"/>
          <w:szCs w:val="22"/>
        </w:rPr>
      </w:pPr>
      <w:r w:rsidRPr="008A2C62">
        <w:rPr>
          <w:sz w:val="22"/>
          <w:szCs w:val="22"/>
        </w:rPr>
        <w:t xml:space="preserve">The most logical way to make </w:t>
      </w:r>
      <w:r w:rsidR="00133015" w:rsidRPr="008A2C62">
        <w:rPr>
          <w:sz w:val="22"/>
          <w:szCs w:val="22"/>
        </w:rPr>
        <w:t>the problem</w:t>
      </w:r>
      <w:r w:rsidRPr="008A2C62">
        <w:rPr>
          <w:sz w:val="22"/>
          <w:szCs w:val="22"/>
        </w:rPr>
        <w:t xml:space="preserve"> go away is to make it somebody </w:t>
      </w:r>
      <w:r w:rsidRPr="008A2C62">
        <w:rPr>
          <w:i/>
          <w:sz w:val="22"/>
          <w:szCs w:val="22"/>
        </w:rPr>
        <w:t>else’s</w:t>
      </w:r>
      <w:r w:rsidRPr="008A2C62">
        <w:rPr>
          <w:sz w:val="22"/>
          <w:szCs w:val="22"/>
        </w:rPr>
        <w:t xml:space="preserve"> problem.</w:t>
      </w:r>
      <w:r w:rsidR="00133015" w:rsidRPr="008A2C62">
        <w:rPr>
          <w:sz w:val="22"/>
          <w:szCs w:val="22"/>
        </w:rPr>
        <w:t xml:space="preserve">  </w:t>
      </w:r>
      <w:r w:rsidR="00211E0A" w:rsidRPr="008A2C62">
        <w:rPr>
          <w:sz w:val="22"/>
          <w:szCs w:val="22"/>
        </w:rPr>
        <w:t>Although no one says so directly, among some scholars there is a lurking implication that the academy really can’t be blamed if a student has a hard time of it.</w:t>
      </w:r>
      <w:r w:rsidR="003057C7" w:rsidRPr="008A2C62">
        <w:rPr>
          <w:rStyle w:val="FootnoteReference"/>
          <w:sz w:val="22"/>
          <w:szCs w:val="22"/>
        </w:rPr>
        <w:footnoteReference w:id="20"/>
      </w:r>
      <w:r w:rsidR="00211E0A" w:rsidRPr="008A2C62">
        <w:rPr>
          <w:sz w:val="22"/>
          <w:szCs w:val="22"/>
        </w:rPr>
        <w:t xml:space="preserve">  </w:t>
      </w:r>
      <w:r w:rsidR="003057C7" w:rsidRPr="008A2C62">
        <w:rPr>
          <w:sz w:val="22"/>
          <w:szCs w:val="22"/>
        </w:rPr>
        <w:t>Simply because there’s a spiritual gap doesn’t mean that theological education needs to reshape itself along its contours.</w:t>
      </w:r>
      <w:r w:rsidR="003057C7" w:rsidRPr="008A2C62">
        <w:rPr>
          <w:rStyle w:val="FootnoteReference"/>
          <w:sz w:val="22"/>
          <w:szCs w:val="22"/>
        </w:rPr>
        <w:footnoteReference w:id="21"/>
      </w:r>
      <w:r w:rsidR="003057C7" w:rsidRPr="008A2C62">
        <w:rPr>
          <w:sz w:val="22"/>
          <w:szCs w:val="22"/>
        </w:rPr>
        <w:t xml:space="preserve"> The function of the theological academy isn’t to be a spiritual nanny, they say, but to be a rigorous academic institution.  Spiritual formation can and should occur, but within set times and intervals, co-curricular activities and events, or in chapel services and student groups.</w:t>
      </w:r>
      <w:r w:rsidR="004F464A" w:rsidRPr="008A2C62">
        <w:rPr>
          <w:rStyle w:val="FootnoteReference"/>
          <w:sz w:val="22"/>
          <w:szCs w:val="22"/>
        </w:rPr>
        <w:footnoteReference w:id="22"/>
      </w:r>
      <w:r w:rsidR="003057C7" w:rsidRPr="008A2C62">
        <w:rPr>
          <w:sz w:val="22"/>
          <w:szCs w:val="22"/>
        </w:rPr>
        <w:t xml:space="preserve">  </w:t>
      </w:r>
    </w:p>
    <w:p w:rsidR="004F464A" w:rsidRPr="008A2C62" w:rsidRDefault="004F464A" w:rsidP="000C5CA9">
      <w:pPr>
        <w:spacing w:line="480" w:lineRule="auto"/>
        <w:ind w:right="-9" w:firstLine="720"/>
        <w:rPr>
          <w:sz w:val="22"/>
          <w:szCs w:val="22"/>
        </w:rPr>
      </w:pPr>
      <w:r w:rsidRPr="008A2C62">
        <w:rPr>
          <w:sz w:val="22"/>
          <w:szCs w:val="22"/>
        </w:rPr>
        <w:t xml:space="preserve">In this view, the purpose of theological education is more narrowly defined with an intellectual, academic goal.  Such a position would be popular amid the surge of theological institutions toward the universities.  It does not downplay the importance of spiritual formation, </w:t>
      </w:r>
      <w:r w:rsidR="001E01EF" w:rsidRPr="008A2C62">
        <w:rPr>
          <w:sz w:val="22"/>
          <w:szCs w:val="22"/>
        </w:rPr>
        <w:t>but still takes the pressure off the academy</w:t>
      </w:r>
      <w:r w:rsidR="003B287A" w:rsidRPr="008A2C62">
        <w:rPr>
          <w:sz w:val="22"/>
          <w:szCs w:val="22"/>
        </w:rPr>
        <w:t xml:space="preserve">.  </w:t>
      </w:r>
      <w:r w:rsidRPr="008A2C62">
        <w:rPr>
          <w:sz w:val="22"/>
          <w:szCs w:val="22"/>
        </w:rPr>
        <w:t xml:space="preserve">Formation at large is seen as the responsibility of the church, and not the institution.  ‘The local church is a vital part of the process and all the theological school can do is </w:t>
      </w:r>
      <w:proofErr w:type="gramStart"/>
      <w:r w:rsidRPr="008A2C62">
        <w:rPr>
          <w:sz w:val="22"/>
          <w:szCs w:val="22"/>
        </w:rPr>
        <w:t>provide</w:t>
      </w:r>
      <w:proofErr w:type="gramEnd"/>
      <w:r w:rsidRPr="008A2C62">
        <w:rPr>
          <w:sz w:val="22"/>
          <w:szCs w:val="22"/>
        </w:rPr>
        <w:t xml:space="preserve"> opportunities at a particular point in someone’s life for the student to respond to divine grace.’</w:t>
      </w:r>
      <w:r w:rsidRPr="008A2C62">
        <w:rPr>
          <w:rStyle w:val="FootnoteReference"/>
          <w:sz w:val="22"/>
          <w:szCs w:val="22"/>
        </w:rPr>
        <w:footnoteReference w:id="23"/>
      </w:r>
      <w:r w:rsidR="005075F2">
        <w:rPr>
          <w:sz w:val="22"/>
          <w:szCs w:val="22"/>
        </w:rPr>
        <w:t xml:space="preserve">  </w:t>
      </w:r>
      <w:r w:rsidRPr="008A2C62">
        <w:rPr>
          <w:sz w:val="22"/>
          <w:szCs w:val="22"/>
        </w:rPr>
        <w:t xml:space="preserve">Presumably, if the students don’t respond, </w:t>
      </w:r>
      <w:r w:rsidR="003B287A" w:rsidRPr="008A2C62">
        <w:rPr>
          <w:sz w:val="22"/>
          <w:szCs w:val="22"/>
        </w:rPr>
        <w:t>it’s their own fault.</w:t>
      </w:r>
    </w:p>
    <w:p w:rsidR="003B287A" w:rsidRPr="008A2C62" w:rsidRDefault="003B287A" w:rsidP="000C5CA9">
      <w:pPr>
        <w:spacing w:line="480" w:lineRule="auto"/>
        <w:ind w:right="-9" w:firstLine="720"/>
        <w:rPr>
          <w:sz w:val="22"/>
          <w:szCs w:val="22"/>
        </w:rPr>
      </w:pPr>
      <w:r w:rsidRPr="008A2C62">
        <w:rPr>
          <w:sz w:val="22"/>
          <w:szCs w:val="22"/>
        </w:rPr>
        <w:t xml:space="preserve">Especially without any definite way of measuring the success of the ‘co-curricular’ activities, this sort of view can become lethal.  An effort is being made, so that’s enough, isn’t it?  The </w:t>
      </w:r>
      <w:proofErr w:type="gramStart"/>
      <w:r w:rsidRPr="008A2C62">
        <w:rPr>
          <w:sz w:val="22"/>
          <w:szCs w:val="22"/>
        </w:rPr>
        <w:t>quality of the formation activities are</w:t>
      </w:r>
      <w:proofErr w:type="gramEnd"/>
      <w:r w:rsidRPr="008A2C62">
        <w:rPr>
          <w:sz w:val="22"/>
          <w:szCs w:val="22"/>
        </w:rPr>
        <w:t xml:space="preserve"> self-determining, and so if students aren’t being formed</w:t>
      </w:r>
      <w:r w:rsidR="001E01EF" w:rsidRPr="008A2C62">
        <w:rPr>
          <w:sz w:val="22"/>
          <w:szCs w:val="22"/>
        </w:rPr>
        <w:t>, the academy can’t be blamed</w:t>
      </w:r>
      <w:r w:rsidRPr="008A2C62">
        <w:rPr>
          <w:sz w:val="22"/>
          <w:szCs w:val="22"/>
        </w:rPr>
        <w:t>.</w:t>
      </w:r>
      <w:r w:rsidRPr="008A2C62">
        <w:rPr>
          <w:rStyle w:val="FootnoteReference"/>
          <w:sz w:val="22"/>
          <w:szCs w:val="22"/>
        </w:rPr>
        <w:footnoteReference w:id="24"/>
      </w:r>
    </w:p>
    <w:p w:rsidR="004F464A" w:rsidRPr="008A2C62" w:rsidRDefault="001E01EF" w:rsidP="000C5CA9">
      <w:pPr>
        <w:spacing w:line="480" w:lineRule="auto"/>
        <w:ind w:right="-9" w:firstLine="720"/>
        <w:rPr>
          <w:sz w:val="22"/>
          <w:szCs w:val="22"/>
        </w:rPr>
      </w:pPr>
      <w:r w:rsidRPr="008A2C62">
        <w:rPr>
          <w:sz w:val="22"/>
          <w:szCs w:val="22"/>
        </w:rPr>
        <w:t xml:space="preserve">But </w:t>
      </w:r>
      <w:r w:rsidR="003B287A" w:rsidRPr="008A2C62">
        <w:rPr>
          <w:sz w:val="22"/>
          <w:szCs w:val="22"/>
        </w:rPr>
        <w:t xml:space="preserve">other thinkers, notably Henri </w:t>
      </w:r>
      <w:proofErr w:type="spellStart"/>
      <w:r w:rsidR="003B287A" w:rsidRPr="008A2C62">
        <w:rPr>
          <w:sz w:val="22"/>
          <w:szCs w:val="22"/>
        </w:rPr>
        <w:t>Nouwen</w:t>
      </w:r>
      <w:proofErr w:type="spellEnd"/>
      <w:r w:rsidR="003B287A" w:rsidRPr="008A2C62">
        <w:rPr>
          <w:sz w:val="22"/>
          <w:szCs w:val="22"/>
        </w:rPr>
        <w:t xml:space="preserve"> and Parker J. Palmer, </w:t>
      </w:r>
      <w:r w:rsidRPr="008A2C62">
        <w:rPr>
          <w:sz w:val="22"/>
          <w:szCs w:val="22"/>
        </w:rPr>
        <w:t>repudiate this view</w:t>
      </w:r>
      <w:r w:rsidR="003B287A" w:rsidRPr="008A2C62">
        <w:rPr>
          <w:sz w:val="22"/>
          <w:szCs w:val="22"/>
        </w:rPr>
        <w:t>.  Although sympathetic to the plight of the overworked, under-formed faculty, they nonetheless insist that the student must not be abandoned to his fate</w:t>
      </w:r>
      <w:r w:rsidR="00770E3E" w:rsidRPr="008A2C62">
        <w:rPr>
          <w:sz w:val="22"/>
          <w:szCs w:val="22"/>
        </w:rPr>
        <w:t>, calling the present educational system a ‘</w:t>
      </w:r>
      <w:r w:rsidRPr="008A2C62">
        <w:rPr>
          <w:sz w:val="22"/>
          <w:szCs w:val="22"/>
        </w:rPr>
        <w:t>tragedy</w:t>
      </w:r>
      <w:r w:rsidR="00770E3E" w:rsidRPr="008A2C62">
        <w:rPr>
          <w:sz w:val="22"/>
          <w:szCs w:val="22"/>
        </w:rPr>
        <w:t>’</w:t>
      </w:r>
      <w:r w:rsidR="00770E3E" w:rsidRPr="008A2C62">
        <w:rPr>
          <w:rStyle w:val="FootnoteReference"/>
          <w:sz w:val="22"/>
          <w:szCs w:val="22"/>
        </w:rPr>
        <w:footnoteReference w:id="25"/>
      </w:r>
      <w:r w:rsidR="003B287A" w:rsidRPr="008A2C62">
        <w:rPr>
          <w:sz w:val="22"/>
          <w:szCs w:val="22"/>
        </w:rPr>
        <w:t xml:space="preserve">.  The present view of education as a series of hoops to be jumped and ribbons to be earned must be abandoned.  Instead, </w:t>
      </w:r>
      <w:proofErr w:type="spellStart"/>
      <w:r w:rsidR="003B287A" w:rsidRPr="008A2C62">
        <w:rPr>
          <w:sz w:val="22"/>
          <w:szCs w:val="22"/>
        </w:rPr>
        <w:lastRenderedPageBreak/>
        <w:t>Nouwen</w:t>
      </w:r>
      <w:proofErr w:type="spellEnd"/>
      <w:r w:rsidR="003B287A" w:rsidRPr="008A2C62">
        <w:rPr>
          <w:sz w:val="22"/>
          <w:szCs w:val="22"/>
        </w:rPr>
        <w:t xml:space="preserve"> exhorted educators to practice ‘hospitality’ to their students, </w:t>
      </w:r>
      <w:r w:rsidR="00770E3E" w:rsidRPr="008A2C62">
        <w:rPr>
          <w:sz w:val="22"/>
          <w:szCs w:val="22"/>
        </w:rPr>
        <w:t>‘the creation of a free space where the [student] can enter and become a friend instead of an enemy.’</w:t>
      </w:r>
      <w:r w:rsidR="00770E3E" w:rsidRPr="008A2C62">
        <w:rPr>
          <w:rStyle w:val="FootnoteReference"/>
          <w:sz w:val="22"/>
          <w:szCs w:val="22"/>
        </w:rPr>
        <w:footnoteReference w:id="26"/>
      </w:r>
    </w:p>
    <w:p w:rsidR="001E01EF" w:rsidRPr="008A2C62" w:rsidRDefault="00770E3E" w:rsidP="000C5CA9">
      <w:pPr>
        <w:spacing w:line="480" w:lineRule="auto"/>
        <w:ind w:right="-9" w:firstLine="720"/>
        <w:rPr>
          <w:sz w:val="22"/>
          <w:szCs w:val="22"/>
        </w:rPr>
      </w:pPr>
      <w:r w:rsidRPr="008A2C62">
        <w:rPr>
          <w:sz w:val="22"/>
          <w:szCs w:val="22"/>
        </w:rPr>
        <w:t xml:space="preserve">To do this, the teacher must listen to the questions the student really asks, and allow the student to contribute to his education, not just receive it.  Theological education then becomes genuine, </w:t>
      </w:r>
      <w:r w:rsidR="004E5965" w:rsidRPr="008A2C62">
        <w:rPr>
          <w:sz w:val="22"/>
          <w:szCs w:val="22"/>
        </w:rPr>
        <w:t>vibrant interaction between friends.</w:t>
      </w:r>
      <w:r w:rsidR="004E5965" w:rsidRPr="008A2C62">
        <w:rPr>
          <w:rStyle w:val="FootnoteReference"/>
          <w:sz w:val="22"/>
          <w:szCs w:val="22"/>
        </w:rPr>
        <w:footnoteReference w:id="27"/>
      </w:r>
      <w:r w:rsidR="004E5965" w:rsidRPr="008A2C62">
        <w:rPr>
          <w:sz w:val="22"/>
          <w:szCs w:val="22"/>
        </w:rPr>
        <w:t xml:space="preserve">  </w:t>
      </w:r>
      <w:r w:rsidR="001E01EF" w:rsidRPr="008A2C62">
        <w:rPr>
          <w:sz w:val="22"/>
          <w:szCs w:val="22"/>
        </w:rPr>
        <w:t>The pressure does not rest entirely on the student or entirely on the faculty; formation becomes relational, with giving and receiving from both ends.</w:t>
      </w:r>
    </w:p>
    <w:p w:rsidR="00770E3E" w:rsidRPr="008A2C62" w:rsidRDefault="00770E3E" w:rsidP="000C5CA9">
      <w:pPr>
        <w:spacing w:line="480" w:lineRule="auto"/>
        <w:ind w:right="-9" w:firstLine="720"/>
        <w:rPr>
          <w:sz w:val="22"/>
          <w:szCs w:val="22"/>
        </w:rPr>
      </w:pPr>
      <w:r w:rsidRPr="008A2C62">
        <w:rPr>
          <w:sz w:val="22"/>
          <w:szCs w:val="22"/>
        </w:rPr>
        <w:t xml:space="preserve">‘When we look at teaching in terms of hospitality,’ </w:t>
      </w:r>
      <w:proofErr w:type="spellStart"/>
      <w:r w:rsidRPr="008A2C62">
        <w:rPr>
          <w:sz w:val="22"/>
          <w:szCs w:val="22"/>
        </w:rPr>
        <w:t>Nouwen</w:t>
      </w:r>
      <w:proofErr w:type="spellEnd"/>
      <w:r w:rsidRPr="008A2C62">
        <w:rPr>
          <w:sz w:val="22"/>
          <w:szCs w:val="22"/>
        </w:rPr>
        <w:t xml:space="preserve"> said, ‘we can say</w:t>
      </w:r>
      <w:r w:rsidR="004E5965" w:rsidRPr="008A2C62">
        <w:rPr>
          <w:sz w:val="22"/>
          <w:szCs w:val="22"/>
        </w:rPr>
        <w:t xml:space="preserve"> that the teacher is called upon to create for his students a free and fearless space where mental and emotional development can take place.’</w:t>
      </w:r>
      <w:r w:rsidR="004E5965" w:rsidRPr="008A2C62">
        <w:rPr>
          <w:rStyle w:val="FootnoteReference"/>
          <w:sz w:val="22"/>
          <w:szCs w:val="22"/>
        </w:rPr>
        <w:footnoteReference w:id="28"/>
      </w:r>
    </w:p>
    <w:p w:rsidR="004E5965" w:rsidRPr="008A2C62" w:rsidRDefault="001E01EF" w:rsidP="000C5CA9">
      <w:pPr>
        <w:spacing w:line="480" w:lineRule="auto"/>
        <w:ind w:right="-9" w:firstLine="720"/>
        <w:rPr>
          <w:sz w:val="22"/>
          <w:szCs w:val="22"/>
        </w:rPr>
      </w:pPr>
      <w:r w:rsidRPr="008A2C62">
        <w:rPr>
          <w:sz w:val="22"/>
          <w:szCs w:val="22"/>
        </w:rPr>
        <w:t>Despite the excellence of this model, it</w:t>
      </w:r>
      <w:r w:rsidR="004E5965" w:rsidRPr="008A2C62">
        <w:rPr>
          <w:sz w:val="22"/>
          <w:szCs w:val="22"/>
        </w:rPr>
        <w:t xml:space="preserve"> would be difficult to accomplish in the current academic climate of theological education.  Although many faculty may long to achieve what </w:t>
      </w:r>
      <w:proofErr w:type="spellStart"/>
      <w:r w:rsidR="004E5965" w:rsidRPr="008A2C62">
        <w:rPr>
          <w:sz w:val="22"/>
          <w:szCs w:val="22"/>
        </w:rPr>
        <w:t>Nouwen</w:t>
      </w:r>
      <w:proofErr w:type="spellEnd"/>
      <w:r w:rsidR="004E5965" w:rsidRPr="008A2C62">
        <w:rPr>
          <w:sz w:val="22"/>
          <w:szCs w:val="22"/>
        </w:rPr>
        <w:t xml:space="preserve"> suggests, and</w:t>
      </w:r>
      <w:r w:rsidRPr="008A2C62">
        <w:rPr>
          <w:sz w:val="22"/>
          <w:szCs w:val="22"/>
        </w:rPr>
        <w:t xml:space="preserve"> may</w:t>
      </w:r>
      <w:r w:rsidR="004E5965" w:rsidRPr="008A2C62">
        <w:rPr>
          <w:sz w:val="22"/>
          <w:szCs w:val="22"/>
        </w:rPr>
        <w:t xml:space="preserve"> even attempt it</w:t>
      </w:r>
      <w:r w:rsidRPr="008A2C62">
        <w:rPr>
          <w:sz w:val="22"/>
          <w:szCs w:val="22"/>
        </w:rPr>
        <w:t xml:space="preserve"> to some extent</w:t>
      </w:r>
      <w:r w:rsidR="004E5965" w:rsidRPr="008A2C62">
        <w:rPr>
          <w:sz w:val="22"/>
          <w:szCs w:val="22"/>
        </w:rPr>
        <w:t>, they simply don’t have the time.</w:t>
      </w:r>
      <w:r w:rsidR="004E5965" w:rsidRPr="008A2C62">
        <w:rPr>
          <w:rStyle w:val="FootnoteReference"/>
          <w:sz w:val="22"/>
          <w:szCs w:val="22"/>
        </w:rPr>
        <w:footnoteReference w:id="29"/>
      </w:r>
    </w:p>
    <w:p w:rsidR="00522ACB" w:rsidRDefault="004E5965" w:rsidP="000C5CA9">
      <w:pPr>
        <w:spacing w:line="480" w:lineRule="auto"/>
        <w:ind w:right="-9" w:firstLine="720"/>
        <w:rPr>
          <w:sz w:val="22"/>
          <w:szCs w:val="22"/>
        </w:rPr>
      </w:pPr>
      <w:r w:rsidRPr="008A2C62">
        <w:rPr>
          <w:sz w:val="22"/>
          <w:szCs w:val="22"/>
        </w:rPr>
        <w:t xml:space="preserve">And this hones onto the crux of the problem.  It’s not that students and faculty don’t want to participate in each other’s lives, or that they don’t want to grow and develop spiritually, while growing and developing academically.  Most do.  </w:t>
      </w:r>
      <w:r w:rsidR="00522ACB" w:rsidRPr="008A2C62">
        <w:rPr>
          <w:sz w:val="22"/>
          <w:szCs w:val="22"/>
        </w:rPr>
        <w:t xml:space="preserve">But they are enmeshed in a Gordian knot – the system of education that perpetuates the fragmentation, the tension, that they are forced to endure. </w:t>
      </w:r>
    </w:p>
    <w:p w:rsidR="005075F2" w:rsidRPr="008A2C62" w:rsidRDefault="005075F2" w:rsidP="000C5CA9">
      <w:pPr>
        <w:spacing w:line="480" w:lineRule="auto"/>
        <w:ind w:right="-9" w:firstLine="720"/>
        <w:rPr>
          <w:sz w:val="22"/>
          <w:szCs w:val="22"/>
        </w:rPr>
      </w:pPr>
    </w:p>
    <w:p w:rsidR="00522ACB" w:rsidRPr="008A2C62" w:rsidRDefault="005075F2" w:rsidP="000C5CA9">
      <w:pPr>
        <w:spacing w:line="480" w:lineRule="auto"/>
        <w:ind w:right="-9" w:firstLine="720"/>
        <w:rPr>
          <w:sz w:val="22"/>
          <w:szCs w:val="22"/>
        </w:rPr>
      </w:pPr>
      <w:r>
        <w:rPr>
          <w:sz w:val="22"/>
          <w:szCs w:val="22"/>
        </w:rPr>
        <w:t>The</w:t>
      </w:r>
      <w:r w:rsidR="00522ACB" w:rsidRPr="008A2C62">
        <w:rPr>
          <w:sz w:val="22"/>
          <w:szCs w:val="22"/>
        </w:rPr>
        <w:t xml:space="preserve"> tension between formation and information clinches at the curriculum – </w:t>
      </w:r>
      <w:r w:rsidR="00522ACB" w:rsidRPr="008A2C62">
        <w:rPr>
          <w:i/>
          <w:sz w:val="22"/>
          <w:szCs w:val="22"/>
        </w:rPr>
        <w:t>what</w:t>
      </w:r>
      <w:r w:rsidR="00522ACB" w:rsidRPr="008A2C62">
        <w:rPr>
          <w:sz w:val="22"/>
          <w:szCs w:val="22"/>
        </w:rPr>
        <w:t xml:space="preserve"> is taught, </w:t>
      </w:r>
      <w:r w:rsidR="00522ACB" w:rsidRPr="008A2C62">
        <w:rPr>
          <w:i/>
          <w:sz w:val="22"/>
          <w:szCs w:val="22"/>
        </w:rPr>
        <w:t>how</w:t>
      </w:r>
      <w:r w:rsidR="00522ACB" w:rsidRPr="008A2C62">
        <w:rPr>
          <w:sz w:val="22"/>
          <w:szCs w:val="22"/>
        </w:rPr>
        <w:t xml:space="preserve"> it is taught, and </w:t>
      </w:r>
      <w:proofErr w:type="gramStart"/>
      <w:r w:rsidR="00522ACB" w:rsidRPr="008A2C62">
        <w:rPr>
          <w:i/>
          <w:sz w:val="22"/>
          <w:szCs w:val="22"/>
        </w:rPr>
        <w:t>why</w:t>
      </w:r>
      <w:r w:rsidR="00522ACB" w:rsidRPr="008A2C62">
        <w:rPr>
          <w:sz w:val="22"/>
          <w:szCs w:val="22"/>
        </w:rPr>
        <w:t>.</w:t>
      </w:r>
      <w:proofErr w:type="gramEnd"/>
      <w:r w:rsidR="00522ACB" w:rsidRPr="008A2C62">
        <w:rPr>
          <w:sz w:val="22"/>
          <w:szCs w:val="22"/>
        </w:rPr>
        <w:t xml:space="preserve">  More than a matter of timetables and syllabi, these are the founding questions of this search.</w:t>
      </w:r>
    </w:p>
    <w:p w:rsidR="00522ACB" w:rsidRPr="008A2C62" w:rsidRDefault="00522ACB" w:rsidP="000C5CA9">
      <w:pPr>
        <w:spacing w:line="480" w:lineRule="auto"/>
        <w:ind w:right="-9" w:firstLine="720"/>
        <w:rPr>
          <w:sz w:val="22"/>
          <w:szCs w:val="22"/>
        </w:rPr>
      </w:pPr>
      <w:r w:rsidRPr="008A2C62">
        <w:rPr>
          <w:sz w:val="22"/>
          <w:szCs w:val="22"/>
        </w:rPr>
        <w:t xml:space="preserve">Recent debate around the </w:t>
      </w:r>
      <w:r w:rsidRPr="008A2C62">
        <w:rPr>
          <w:i/>
          <w:sz w:val="22"/>
          <w:szCs w:val="22"/>
        </w:rPr>
        <w:t>why</w:t>
      </w:r>
      <w:r w:rsidRPr="008A2C62">
        <w:rPr>
          <w:sz w:val="22"/>
          <w:szCs w:val="22"/>
        </w:rPr>
        <w:t xml:space="preserve"> question has begun to read like </w:t>
      </w:r>
      <w:r w:rsidRPr="008A2C62">
        <w:rPr>
          <w:i/>
          <w:sz w:val="22"/>
          <w:szCs w:val="22"/>
        </w:rPr>
        <w:t>A Tale of Two Cities</w:t>
      </w:r>
      <w:r w:rsidRPr="008A2C62">
        <w:rPr>
          <w:sz w:val="22"/>
          <w:szCs w:val="22"/>
        </w:rPr>
        <w:t>.  David Kelsey’s employment of cities as icons to discuss educational theology quickly became vogue.</w:t>
      </w:r>
      <w:r w:rsidRPr="008A2C62">
        <w:rPr>
          <w:rStyle w:val="FootnoteReference"/>
          <w:sz w:val="22"/>
          <w:szCs w:val="22"/>
        </w:rPr>
        <w:footnoteReference w:id="30"/>
      </w:r>
      <w:r w:rsidRPr="008A2C62">
        <w:rPr>
          <w:sz w:val="22"/>
          <w:szCs w:val="22"/>
        </w:rPr>
        <w:t xml:space="preserve">  It </w:t>
      </w:r>
      <w:r w:rsidRPr="008A2C62">
        <w:rPr>
          <w:sz w:val="22"/>
          <w:szCs w:val="22"/>
        </w:rPr>
        <w:lastRenderedPageBreak/>
        <w:t xml:space="preserve">provides a neat, categorical way to discuss broad concepts and theoretical models </w:t>
      </w:r>
      <w:r w:rsidR="00D846C7" w:rsidRPr="008A2C62">
        <w:rPr>
          <w:sz w:val="22"/>
          <w:szCs w:val="22"/>
        </w:rPr>
        <w:t>without having to rely too heavily on immediate contextualization</w:t>
      </w:r>
      <w:r w:rsidRPr="008A2C62">
        <w:rPr>
          <w:sz w:val="22"/>
          <w:szCs w:val="22"/>
        </w:rPr>
        <w:t>.</w:t>
      </w:r>
      <w:r w:rsidRPr="008A2C62">
        <w:rPr>
          <w:rStyle w:val="FootnoteReference"/>
          <w:sz w:val="22"/>
          <w:szCs w:val="22"/>
        </w:rPr>
        <w:footnoteReference w:id="31"/>
      </w:r>
    </w:p>
    <w:p w:rsidR="00522ACB" w:rsidRPr="008A2C62" w:rsidRDefault="00522ACB" w:rsidP="000C5CA9">
      <w:pPr>
        <w:spacing w:line="480" w:lineRule="auto"/>
        <w:ind w:right="-9" w:firstLine="720"/>
        <w:rPr>
          <w:sz w:val="22"/>
          <w:szCs w:val="22"/>
        </w:rPr>
      </w:pPr>
      <w:r w:rsidRPr="008A2C62">
        <w:rPr>
          <w:sz w:val="22"/>
          <w:szCs w:val="22"/>
        </w:rPr>
        <w:t>Kelsey chose Athens and Berlin to represent ‘two models of excellent schooling.’</w:t>
      </w:r>
      <w:r w:rsidRPr="008A2C62">
        <w:rPr>
          <w:rStyle w:val="FootnoteReference"/>
          <w:sz w:val="22"/>
          <w:szCs w:val="22"/>
        </w:rPr>
        <w:footnoteReference w:id="32"/>
      </w:r>
      <w:r w:rsidRPr="008A2C62">
        <w:rPr>
          <w:sz w:val="22"/>
          <w:szCs w:val="22"/>
        </w:rPr>
        <w:t xml:space="preserve">  Not surprisingly, Athens depicted the classical mode of Greek education, the pursuit of </w:t>
      </w:r>
      <w:proofErr w:type="spellStart"/>
      <w:r w:rsidRPr="008A2C62">
        <w:rPr>
          <w:i/>
          <w:sz w:val="22"/>
          <w:szCs w:val="22"/>
        </w:rPr>
        <w:t>paideia</w:t>
      </w:r>
      <w:proofErr w:type="spellEnd"/>
      <w:r w:rsidRPr="008A2C62">
        <w:rPr>
          <w:sz w:val="22"/>
          <w:szCs w:val="22"/>
        </w:rPr>
        <w:t xml:space="preserve">, viz., the nurturing of the individual soul to an awakening of inherent knowledge.  This philosophy enjoyed imperialistic dominance </w:t>
      </w:r>
      <w:r w:rsidR="00D846C7" w:rsidRPr="008A2C62">
        <w:rPr>
          <w:sz w:val="22"/>
          <w:szCs w:val="22"/>
        </w:rPr>
        <w:t>over</w:t>
      </w:r>
      <w:r w:rsidRPr="008A2C62">
        <w:rPr>
          <w:sz w:val="22"/>
          <w:szCs w:val="22"/>
        </w:rPr>
        <w:t xml:space="preserve"> theological education for most of Christian history,</w:t>
      </w:r>
      <w:r w:rsidR="005075F2">
        <w:rPr>
          <w:rStyle w:val="FootnoteReference"/>
          <w:sz w:val="22"/>
          <w:szCs w:val="22"/>
        </w:rPr>
        <w:footnoteReference w:id="33"/>
      </w:r>
      <w:r w:rsidRPr="008A2C62">
        <w:rPr>
          <w:sz w:val="22"/>
          <w:szCs w:val="22"/>
        </w:rPr>
        <w:t xml:space="preserve"> finding recent support in Edward Farley’s </w:t>
      </w:r>
      <w:proofErr w:type="spellStart"/>
      <w:r w:rsidRPr="008A2C62">
        <w:rPr>
          <w:i/>
          <w:sz w:val="22"/>
          <w:szCs w:val="22"/>
        </w:rPr>
        <w:t>Theologia</w:t>
      </w:r>
      <w:proofErr w:type="spellEnd"/>
      <w:r w:rsidRPr="008A2C62">
        <w:rPr>
          <w:sz w:val="22"/>
          <w:szCs w:val="22"/>
        </w:rPr>
        <w:t xml:space="preserve">, and, arguably, in the writings of Henri </w:t>
      </w:r>
      <w:proofErr w:type="spellStart"/>
      <w:r w:rsidRPr="008A2C62">
        <w:rPr>
          <w:sz w:val="22"/>
          <w:szCs w:val="22"/>
        </w:rPr>
        <w:t>Nouwen</w:t>
      </w:r>
      <w:proofErr w:type="spellEnd"/>
      <w:r w:rsidRPr="008A2C62">
        <w:rPr>
          <w:sz w:val="22"/>
          <w:szCs w:val="22"/>
        </w:rPr>
        <w:t>.</w:t>
      </w:r>
    </w:p>
    <w:p w:rsidR="00522ACB" w:rsidRPr="008A2C62" w:rsidRDefault="00522ACB" w:rsidP="000C5CA9">
      <w:pPr>
        <w:spacing w:line="480" w:lineRule="auto"/>
        <w:ind w:right="-9" w:firstLine="720"/>
        <w:rPr>
          <w:sz w:val="22"/>
          <w:szCs w:val="22"/>
        </w:rPr>
      </w:pPr>
      <w:r w:rsidRPr="008A2C62">
        <w:rPr>
          <w:sz w:val="22"/>
          <w:szCs w:val="22"/>
        </w:rPr>
        <w:t>Berlin, on the other hand, depicted the educational theory propounded through the enlightenment universities, with the University of Berlin as their flagship.</w:t>
      </w:r>
      <w:r w:rsidR="00D846C7" w:rsidRPr="008A2C62">
        <w:rPr>
          <w:rStyle w:val="FootnoteReference"/>
          <w:sz w:val="22"/>
          <w:szCs w:val="22"/>
        </w:rPr>
        <w:footnoteReference w:id="34"/>
      </w:r>
      <w:r w:rsidRPr="008A2C62">
        <w:rPr>
          <w:sz w:val="22"/>
          <w:szCs w:val="22"/>
        </w:rPr>
        <w:t xml:space="preserve">  The dream of such universities was to produce detached, rational inquirers whose use of critical analysis and reason would be turned to the enrichment of society.  They would thus be trained in exhaustive specialized research, or </w:t>
      </w:r>
      <w:proofErr w:type="spellStart"/>
      <w:r w:rsidRPr="008A2C62">
        <w:rPr>
          <w:i/>
          <w:sz w:val="22"/>
          <w:szCs w:val="22"/>
        </w:rPr>
        <w:t>Wissenschaft</w:t>
      </w:r>
      <w:proofErr w:type="spellEnd"/>
      <w:r w:rsidRPr="008A2C62">
        <w:rPr>
          <w:sz w:val="22"/>
          <w:szCs w:val="22"/>
        </w:rPr>
        <w:t>.</w:t>
      </w:r>
      <w:r w:rsidRPr="008A2C62">
        <w:rPr>
          <w:rStyle w:val="FootnoteReference"/>
          <w:sz w:val="22"/>
          <w:szCs w:val="22"/>
        </w:rPr>
        <w:t xml:space="preserve"> </w:t>
      </w:r>
      <w:r w:rsidRPr="008A2C62">
        <w:rPr>
          <w:rStyle w:val="FootnoteReference"/>
          <w:sz w:val="22"/>
          <w:szCs w:val="22"/>
        </w:rPr>
        <w:footnoteReference w:id="35"/>
      </w:r>
      <w:r w:rsidRPr="008A2C62">
        <w:rPr>
          <w:sz w:val="22"/>
          <w:szCs w:val="22"/>
        </w:rPr>
        <w:t xml:space="preserve">  This approach quickly earned the homage of the academic elite, and soon dominated theological study through the formidable pens of </w:t>
      </w:r>
      <w:proofErr w:type="spellStart"/>
      <w:r w:rsidR="00EC08BE" w:rsidRPr="008A2C62">
        <w:rPr>
          <w:sz w:val="22"/>
          <w:szCs w:val="22"/>
        </w:rPr>
        <w:t>Fredrich</w:t>
      </w:r>
      <w:proofErr w:type="spellEnd"/>
      <w:r w:rsidR="00EC08BE" w:rsidRPr="008A2C62">
        <w:rPr>
          <w:sz w:val="22"/>
          <w:szCs w:val="22"/>
        </w:rPr>
        <w:t xml:space="preserve"> </w:t>
      </w:r>
      <w:r w:rsidRPr="008A2C62">
        <w:rPr>
          <w:sz w:val="22"/>
          <w:szCs w:val="22"/>
        </w:rPr>
        <w:t>Schleiermacher and H. Reinhold Niebuhr.</w:t>
      </w:r>
      <w:r w:rsidRPr="008A2C62">
        <w:rPr>
          <w:rStyle w:val="FootnoteReference"/>
          <w:sz w:val="22"/>
          <w:szCs w:val="22"/>
        </w:rPr>
        <w:footnoteReference w:id="36"/>
      </w:r>
    </w:p>
    <w:p w:rsidR="00522ACB" w:rsidRPr="008A2C62" w:rsidRDefault="00522ACB" w:rsidP="000C5CA9">
      <w:pPr>
        <w:spacing w:line="480" w:lineRule="auto"/>
        <w:ind w:right="-9" w:firstLine="720"/>
        <w:rPr>
          <w:sz w:val="22"/>
          <w:szCs w:val="22"/>
        </w:rPr>
      </w:pPr>
      <w:r w:rsidRPr="008A2C62">
        <w:rPr>
          <w:sz w:val="22"/>
          <w:szCs w:val="22"/>
        </w:rPr>
        <w:t xml:space="preserve">Kelsey’s critique of these two approaches and their surrounding scholarship is useful, so far as it goes.  But he doesn’t actually go very far, at least not far forward.  He seems reluctant either </w:t>
      </w:r>
      <w:r w:rsidR="00EC08BE" w:rsidRPr="008A2C62">
        <w:rPr>
          <w:sz w:val="22"/>
          <w:szCs w:val="22"/>
        </w:rPr>
        <w:t>to choose between them</w:t>
      </w:r>
      <w:r w:rsidRPr="008A2C62">
        <w:rPr>
          <w:sz w:val="22"/>
          <w:szCs w:val="22"/>
        </w:rPr>
        <w:t xml:space="preserve"> or </w:t>
      </w:r>
      <w:r w:rsidR="00EC08BE" w:rsidRPr="008A2C62">
        <w:rPr>
          <w:sz w:val="22"/>
          <w:szCs w:val="22"/>
        </w:rPr>
        <w:t xml:space="preserve">to </w:t>
      </w:r>
      <w:r w:rsidRPr="008A2C62">
        <w:rPr>
          <w:sz w:val="22"/>
          <w:szCs w:val="22"/>
        </w:rPr>
        <w:t>create a third thing.  He repeatedly refers to both methodologies as ‘excellent’, and rather feebly suggests that the best both should somehow be maintained, despite their mutual incompatibility in approach and aim.</w:t>
      </w:r>
      <w:r w:rsidRPr="008A2C62">
        <w:rPr>
          <w:rStyle w:val="FootnoteReference"/>
          <w:sz w:val="22"/>
          <w:szCs w:val="22"/>
        </w:rPr>
        <w:footnoteReference w:id="37"/>
      </w:r>
    </w:p>
    <w:p w:rsidR="00522ACB" w:rsidRPr="008A2C62" w:rsidRDefault="00522ACB" w:rsidP="000C5CA9">
      <w:pPr>
        <w:spacing w:line="480" w:lineRule="auto"/>
        <w:ind w:right="-9" w:firstLine="720"/>
        <w:rPr>
          <w:sz w:val="22"/>
          <w:szCs w:val="22"/>
        </w:rPr>
      </w:pPr>
      <w:r w:rsidRPr="008A2C62">
        <w:rPr>
          <w:sz w:val="22"/>
          <w:szCs w:val="22"/>
        </w:rPr>
        <w:t>More recently, Robert Banks has looked to found a city of his own.</w:t>
      </w:r>
      <w:r w:rsidRPr="008A2C62">
        <w:rPr>
          <w:rStyle w:val="FootnoteReference"/>
          <w:sz w:val="22"/>
          <w:szCs w:val="22"/>
        </w:rPr>
        <w:footnoteReference w:id="38"/>
      </w:r>
      <w:r w:rsidRPr="008A2C62">
        <w:rPr>
          <w:sz w:val="22"/>
          <w:szCs w:val="22"/>
        </w:rPr>
        <w:t xml:space="preserve">  He relies heavily on Kelsey’s critique, though trying unsuccessfully to distance himself from Kelsey’s urbanization, choosing </w:t>
      </w:r>
      <w:r w:rsidRPr="008A2C62">
        <w:rPr>
          <w:sz w:val="22"/>
          <w:szCs w:val="22"/>
        </w:rPr>
        <w:lastRenderedPageBreak/>
        <w:t xml:space="preserve">less fanciful terms ending in ‘-al’.  So ‘Athens’ </w:t>
      </w:r>
      <w:r w:rsidR="008E1217">
        <w:rPr>
          <w:sz w:val="22"/>
          <w:szCs w:val="22"/>
        </w:rPr>
        <w:t>appears as</w:t>
      </w:r>
      <w:r w:rsidRPr="008A2C62">
        <w:rPr>
          <w:sz w:val="22"/>
          <w:szCs w:val="22"/>
        </w:rPr>
        <w:t xml:space="preserve"> ‘Classical’, and ‘Berlin’ becomes ‘Vocational’.</w:t>
      </w:r>
      <w:r w:rsidR="00EC08BE" w:rsidRPr="008A2C62">
        <w:rPr>
          <w:rStyle w:val="FootnoteReference"/>
          <w:sz w:val="22"/>
          <w:szCs w:val="22"/>
        </w:rPr>
        <w:footnoteReference w:id="39"/>
      </w:r>
      <w:r w:rsidRPr="008A2C62">
        <w:rPr>
          <w:sz w:val="22"/>
          <w:szCs w:val="22"/>
        </w:rPr>
        <w:t xml:space="preserve">  His own model is alternately ‘Jerusalem’ or ‘</w:t>
      </w:r>
      <w:proofErr w:type="spellStart"/>
      <w:r w:rsidRPr="008A2C62">
        <w:rPr>
          <w:sz w:val="22"/>
          <w:szCs w:val="22"/>
        </w:rPr>
        <w:t>Missional</w:t>
      </w:r>
      <w:proofErr w:type="spellEnd"/>
      <w:r w:rsidRPr="008A2C62">
        <w:rPr>
          <w:sz w:val="22"/>
          <w:szCs w:val="22"/>
        </w:rPr>
        <w:t xml:space="preserve">.’   </w:t>
      </w:r>
    </w:p>
    <w:p w:rsidR="00EC08BE" w:rsidRPr="008A2C62" w:rsidRDefault="00522ACB" w:rsidP="000C5CA9">
      <w:pPr>
        <w:spacing w:line="480" w:lineRule="auto"/>
        <w:ind w:right="-9" w:firstLine="720"/>
        <w:rPr>
          <w:sz w:val="22"/>
          <w:szCs w:val="22"/>
        </w:rPr>
      </w:pPr>
      <w:r w:rsidRPr="008A2C62">
        <w:rPr>
          <w:sz w:val="22"/>
          <w:szCs w:val="22"/>
        </w:rPr>
        <w:t>Where Kelsey side-steps contextual</w:t>
      </w:r>
      <w:r w:rsidR="008E1217">
        <w:rPr>
          <w:sz w:val="22"/>
          <w:szCs w:val="22"/>
        </w:rPr>
        <w:t xml:space="preserve">ization, Banks hurls </w:t>
      </w:r>
      <w:proofErr w:type="gramStart"/>
      <w:r w:rsidR="008E1217">
        <w:rPr>
          <w:sz w:val="22"/>
          <w:szCs w:val="22"/>
        </w:rPr>
        <w:t>himself</w:t>
      </w:r>
      <w:proofErr w:type="gramEnd"/>
      <w:r w:rsidR="008E1217">
        <w:rPr>
          <w:sz w:val="22"/>
          <w:szCs w:val="22"/>
        </w:rPr>
        <w:t xml:space="preserve"> into </w:t>
      </w:r>
      <w:r w:rsidRPr="008A2C62">
        <w:rPr>
          <w:sz w:val="22"/>
          <w:szCs w:val="22"/>
        </w:rPr>
        <w:t>it.  The basis of his ‘Jerusalem’ model is the immediate context of history with the aim of mission-work.  He pleads for extreme sensitivity to cultural and ecclesial context, and puts extensive guided fieldwork as the crux of education.</w:t>
      </w:r>
      <w:r w:rsidRPr="008A2C62">
        <w:rPr>
          <w:rStyle w:val="FootnoteReference"/>
          <w:sz w:val="22"/>
          <w:szCs w:val="22"/>
        </w:rPr>
        <w:footnoteReference w:id="40"/>
      </w:r>
      <w:r w:rsidRPr="008A2C62">
        <w:rPr>
          <w:sz w:val="22"/>
          <w:szCs w:val="22"/>
        </w:rPr>
        <w:t xml:space="preserve">  This model, or something like it, seems to be employed in YWAM’s University of the Nations</w:t>
      </w:r>
      <w:r w:rsidR="00EC08BE" w:rsidRPr="008A2C62">
        <w:rPr>
          <w:sz w:val="22"/>
          <w:szCs w:val="22"/>
        </w:rPr>
        <w:t>.</w:t>
      </w:r>
    </w:p>
    <w:p w:rsidR="00522ACB" w:rsidRPr="008A2C62" w:rsidRDefault="00522ACB" w:rsidP="000C5CA9">
      <w:pPr>
        <w:spacing w:line="480" w:lineRule="auto"/>
        <w:ind w:right="-9" w:firstLine="720"/>
        <w:rPr>
          <w:sz w:val="22"/>
          <w:szCs w:val="22"/>
        </w:rPr>
      </w:pPr>
      <w:r w:rsidRPr="008A2C62">
        <w:rPr>
          <w:sz w:val="22"/>
          <w:szCs w:val="22"/>
        </w:rPr>
        <w:t xml:space="preserve">The cities continue to proliferate, with </w:t>
      </w:r>
      <w:r w:rsidR="00CE1338" w:rsidRPr="008A2C62">
        <w:rPr>
          <w:sz w:val="22"/>
          <w:szCs w:val="22"/>
        </w:rPr>
        <w:t>Telford Work</w:t>
      </w:r>
      <w:r w:rsidRPr="008A2C62">
        <w:rPr>
          <w:sz w:val="22"/>
          <w:szCs w:val="22"/>
        </w:rPr>
        <w:t xml:space="preserve"> endorsing Antioch</w:t>
      </w:r>
      <w:r w:rsidRPr="008A2C62">
        <w:rPr>
          <w:rStyle w:val="FootnoteReference"/>
          <w:sz w:val="22"/>
          <w:szCs w:val="22"/>
        </w:rPr>
        <w:footnoteReference w:id="41"/>
      </w:r>
      <w:r w:rsidRPr="008A2C62">
        <w:rPr>
          <w:sz w:val="22"/>
          <w:szCs w:val="22"/>
        </w:rPr>
        <w:t>, and Cheryl Johns bringing Azusa Street to bear.</w:t>
      </w:r>
      <w:r w:rsidRPr="008A2C62">
        <w:rPr>
          <w:rStyle w:val="FootnoteReference"/>
          <w:sz w:val="22"/>
          <w:szCs w:val="22"/>
        </w:rPr>
        <w:footnoteReference w:id="42"/>
      </w:r>
      <w:r w:rsidRPr="008A2C62">
        <w:rPr>
          <w:sz w:val="22"/>
          <w:szCs w:val="22"/>
        </w:rPr>
        <w:t xml:space="preserve">  Theoretically, to find the right city is to isolate the proper </w:t>
      </w:r>
      <w:r w:rsidRPr="008A2C62">
        <w:rPr>
          <w:i/>
          <w:sz w:val="22"/>
          <w:szCs w:val="22"/>
        </w:rPr>
        <w:t>why</w:t>
      </w:r>
      <w:r w:rsidRPr="008A2C62">
        <w:rPr>
          <w:sz w:val="22"/>
          <w:szCs w:val="22"/>
        </w:rPr>
        <w:t xml:space="preserve">.  Identify the </w:t>
      </w:r>
      <w:r w:rsidRPr="008A2C62">
        <w:rPr>
          <w:i/>
          <w:sz w:val="22"/>
          <w:szCs w:val="22"/>
        </w:rPr>
        <w:t>why</w:t>
      </w:r>
      <w:r w:rsidRPr="008A2C62">
        <w:rPr>
          <w:sz w:val="22"/>
          <w:szCs w:val="22"/>
        </w:rPr>
        <w:t xml:space="preserve">, and the </w:t>
      </w:r>
      <w:r w:rsidRPr="008A2C62">
        <w:rPr>
          <w:i/>
          <w:sz w:val="22"/>
          <w:szCs w:val="22"/>
        </w:rPr>
        <w:t>how</w:t>
      </w:r>
      <w:r w:rsidRPr="008A2C62">
        <w:rPr>
          <w:sz w:val="22"/>
          <w:szCs w:val="22"/>
        </w:rPr>
        <w:t xml:space="preserve"> and </w:t>
      </w:r>
      <w:r w:rsidRPr="008A2C62">
        <w:rPr>
          <w:i/>
          <w:sz w:val="22"/>
          <w:szCs w:val="22"/>
        </w:rPr>
        <w:t>what</w:t>
      </w:r>
      <w:r w:rsidRPr="008A2C62">
        <w:rPr>
          <w:sz w:val="22"/>
          <w:szCs w:val="22"/>
        </w:rPr>
        <w:t xml:space="preserve"> quickly fall in place.  </w:t>
      </w:r>
    </w:p>
    <w:p w:rsidR="00522ACB" w:rsidRPr="008A2C62" w:rsidRDefault="00522ACB" w:rsidP="000C5CA9">
      <w:pPr>
        <w:spacing w:line="480" w:lineRule="auto"/>
        <w:ind w:right="-9" w:firstLine="720"/>
        <w:rPr>
          <w:sz w:val="22"/>
          <w:szCs w:val="22"/>
        </w:rPr>
      </w:pPr>
      <w:r w:rsidRPr="008A2C62">
        <w:rPr>
          <w:sz w:val="22"/>
          <w:szCs w:val="22"/>
        </w:rPr>
        <w:t xml:space="preserve">So in ‘Berlin’, </w:t>
      </w:r>
      <w:r w:rsidRPr="008A2C62">
        <w:rPr>
          <w:i/>
          <w:sz w:val="22"/>
          <w:szCs w:val="22"/>
        </w:rPr>
        <w:t>what</w:t>
      </w:r>
      <w:r w:rsidRPr="008A2C62">
        <w:rPr>
          <w:sz w:val="22"/>
          <w:szCs w:val="22"/>
        </w:rPr>
        <w:t xml:space="preserve"> must be taught is critical scholarly research and proper intellectual detachment; thus the formal lecture, the vast library, and the academic guild provide the best means </w:t>
      </w:r>
      <w:r w:rsidRPr="008A2C62">
        <w:rPr>
          <w:i/>
          <w:sz w:val="22"/>
          <w:szCs w:val="22"/>
        </w:rPr>
        <w:t>how</w:t>
      </w:r>
      <w:r w:rsidRPr="008A2C62">
        <w:rPr>
          <w:sz w:val="22"/>
          <w:szCs w:val="22"/>
        </w:rPr>
        <w:t xml:space="preserve">.  In ‘Athens’, </w:t>
      </w:r>
      <w:proofErr w:type="gramStart"/>
      <w:r w:rsidRPr="008A2C62">
        <w:rPr>
          <w:sz w:val="22"/>
          <w:szCs w:val="22"/>
        </w:rPr>
        <w:t xml:space="preserve">the </w:t>
      </w:r>
      <w:r w:rsidRPr="008A2C62">
        <w:rPr>
          <w:i/>
          <w:sz w:val="22"/>
          <w:szCs w:val="22"/>
        </w:rPr>
        <w:t>what</w:t>
      </w:r>
      <w:proofErr w:type="gramEnd"/>
      <w:r w:rsidRPr="008A2C62">
        <w:rPr>
          <w:sz w:val="22"/>
          <w:szCs w:val="22"/>
        </w:rPr>
        <w:t xml:space="preserve"> is </w:t>
      </w:r>
      <w:proofErr w:type="spellStart"/>
      <w:r w:rsidRPr="008A2C62">
        <w:rPr>
          <w:i/>
          <w:sz w:val="22"/>
          <w:szCs w:val="22"/>
        </w:rPr>
        <w:t>paideia</w:t>
      </w:r>
      <w:proofErr w:type="spellEnd"/>
      <w:r w:rsidRPr="008A2C62">
        <w:rPr>
          <w:sz w:val="22"/>
          <w:szCs w:val="22"/>
        </w:rPr>
        <w:t xml:space="preserve">, self-understanding and inner-revelation of truth, so a more intimate, personal mentoring relationship becomes a better </w:t>
      </w:r>
      <w:r w:rsidRPr="008A2C62">
        <w:rPr>
          <w:i/>
          <w:sz w:val="22"/>
          <w:szCs w:val="22"/>
        </w:rPr>
        <w:t>how</w:t>
      </w:r>
      <w:r w:rsidRPr="008A2C62">
        <w:rPr>
          <w:sz w:val="22"/>
          <w:szCs w:val="22"/>
        </w:rPr>
        <w:t>.</w:t>
      </w:r>
      <w:r w:rsidRPr="008A2C62">
        <w:rPr>
          <w:rStyle w:val="FootnoteReference"/>
          <w:sz w:val="22"/>
          <w:szCs w:val="22"/>
        </w:rPr>
        <w:footnoteReference w:id="43"/>
      </w:r>
      <w:r w:rsidRPr="008A2C62">
        <w:rPr>
          <w:sz w:val="22"/>
          <w:szCs w:val="22"/>
        </w:rPr>
        <w:t xml:space="preserve">  And in ‘Jerusalem’, </w:t>
      </w:r>
      <w:proofErr w:type="gramStart"/>
      <w:r w:rsidRPr="008A2C62">
        <w:rPr>
          <w:sz w:val="22"/>
          <w:szCs w:val="22"/>
        </w:rPr>
        <w:t xml:space="preserve">the </w:t>
      </w:r>
      <w:r w:rsidRPr="008A2C62">
        <w:rPr>
          <w:i/>
          <w:sz w:val="22"/>
          <w:szCs w:val="22"/>
        </w:rPr>
        <w:t>what</w:t>
      </w:r>
      <w:proofErr w:type="gramEnd"/>
      <w:r w:rsidRPr="008A2C62">
        <w:rPr>
          <w:sz w:val="22"/>
          <w:szCs w:val="22"/>
        </w:rPr>
        <w:t xml:space="preserve"> is practical understanding of what God is doing in the world, so the </w:t>
      </w:r>
      <w:r w:rsidRPr="008A2C62">
        <w:rPr>
          <w:i/>
          <w:sz w:val="22"/>
          <w:szCs w:val="22"/>
        </w:rPr>
        <w:t>how</w:t>
      </w:r>
      <w:r w:rsidRPr="008A2C62">
        <w:rPr>
          <w:sz w:val="22"/>
          <w:szCs w:val="22"/>
        </w:rPr>
        <w:t xml:space="preserve"> is </w:t>
      </w:r>
      <w:r w:rsidR="00EC08BE" w:rsidRPr="008A2C62">
        <w:rPr>
          <w:sz w:val="22"/>
          <w:szCs w:val="22"/>
        </w:rPr>
        <w:t>guided immersion</w:t>
      </w:r>
      <w:r w:rsidRPr="008A2C62">
        <w:rPr>
          <w:sz w:val="22"/>
          <w:szCs w:val="22"/>
        </w:rPr>
        <w:t xml:space="preserve"> into </w:t>
      </w:r>
      <w:r w:rsidR="00EC08BE" w:rsidRPr="008A2C62">
        <w:rPr>
          <w:sz w:val="22"/>
          <w:szCs w:val="22"/>
        </w:rPr>
        <w:t xml:space="preserve">extensive </w:t>
      </w:r>
      <w:r w:rsidRPr="008A2C62">
        <w:rPr>
          <w:sz w:val="22"/>
          <w:szCs w:val="22"/>
        </w:rPr>
        <w:t>hands-on ministry.</w:t>
      </w:r>
      <w:r w:rsidRPr="008A2C62">
        <w:rPr>
          <w:rStyle w:val="FootnoteReference"/>
          <w:sz w:val="22"/>
          <w:szCs w:val="22"/>
        </w:rPr>
        <w:footnoteReference w:id="44"/>
      </w:r>
    </w:p>
    <w:p w:rsidR="00EC08BE" w:rsidRPr="008A2C62" w:rsidRDefault="00522ACB" w:rsidP="000C5CA9">
      <w:pPr>
        <w:spacing w:line="480" w:lineRule="auto"/>
        <w:ind w:right="-9" w:firstLine="720"/>
        <w:rPr>
          <w:sz w:val="22"/>
          <w:szCs w:val="22"/>
        </w:rPr>
      </w:pPr>
      <w:r w:rsidRPr="008A2C62">
        <w:rPr>
          <w:sz w:val="22"/>
          <w:szCs w:val="22"/>
        </w:rPr>
        <w:t>As clever as such modelling is, however, by and large Kelsey’s unwillingness to part with the acclaim of these ‘excellent models of schooling’</w:t>
      </w:r>
      <w:r w:rsidRPr="008A2C62">
        <w:rPr>
          <w:rStyle w:val="FootnoteReference"/>
          <w:sz w:val="22"/>
          <w:szCs w:val="22"/>
        </w:rPr>
        <w:footnoteReference w:id="45"/>
      </w:r>
      <w:r w:rsidRPr="008A2C62">
        <w:rPr>
          <w:sz w:val="22"/>
          <w:szCs w:val="22"/>
        </w:rPr>
        <w:t xml:space="preserve"> typifies the debate.  With this </w:t>
      </w:r>
      <w:proofErr w:type="spellStart"/>
      <w:r w:rsidRPr="008A2C62">
        <w:rPr>
          <w:sz w:val="22"/>
          <w:szCs w:val="22"/>
        </w:rPr>
        <w:t>mindset</w:t>
      </w:r>
      <w:proofErr w:type="spellEnd"/>
      <w:r w:rsidRPr="008A2C62">
        <w:rPr>
          <w:sz w:val="22"/>
          <w:szCs w:val="22"/>
        </w:rPr>
        <w:t>, no actual change will appear.</w:t>
      </w:r>
      <w:r w:rsidRPr="008A2C62">
        <w:rPr>
          <w:rStyle w:val="FootnoteReference"/>
          <w:sz w:val="22"/>
          <w:szCs w:val="22"/>
        </w:rPr>
        <w:footnoteReference w:id="46"/>
      </w:r>
      <w:r w:rsidRPr="008A2C62">
        <w:rPr>
          <w:sz w:val="22"/>
          <w:szCs w:val="22"/>
        </w:rPr>
        <w:t xml:space="preserve">  </w:t>
      </w:r>
    </w:p>
    <w:p w:rsidR="00522ACB" w:rsidRPr="008A2C62" w:rsidRDefault="00522ACB" w:rsidP="000C5CA9">
      <w:pPr>
        <w:spacing w:line="480" w:lineRule="auto"/>
        <w:ind w:right="-9" w:firstLine="720"/>
        <w:rPr>
          <w:sz w:val="22"/>
          <w:szCs w:val="22"/>
        </w:rPr>
      </w:pPr>
      <w:r w:rsidRPr="008A2C62">
        <w:rPr>
          <w:sz w:val="22"/>
          <w:szCs w:val="22"/>
        </w:rPr>
        <w:t>This tension, after all, between</w:t>
      </w:r>
      <w:r w:rsidR="008E1217">
        <w:rPr>
          <w:sz w:val="22"/>
          <w:szCs w:val="22"/>
        </w:rPr>
        <w:t xml:space="preserve"> information and formation is a </w:t>
      </w:r>
      <w:r w:rsidRPr="008A2C62">
        <w:rPr>
          <w:sz w:val="22"/>
          <w:szCs w:val="22"/>
        </w:rPr>
        <w:t xml:space="preserve">genetic tension.  Andrew Kirk writes, ‘The Church around the world has inherited from Western academic institutions, a tradition of </w:t>
      </w:r>
      <w:r w:rsidRPr="008A2C62">
        <w:rPr>
          <w:sz w:val="22"/>
          <w:szCs w:val="22"/>
        </w:rPr>
        <w:lastRenderedPageBreak/>
        <w:t>doing theology, which…is no longer adequate to the spiritual, intellectual, and social changes of our times.’</w:t>
      </w:r>
      <w:r w:rsidRPr="008A2C62">
        <w:rPr>
          <w:rStyle w:val="FootnoteReference"/>
          <w:sz w:val="22"/>
          <w:szCs w:val="22"/>
        </w:rPr>
        <w:footnoteReference w:id="47"/>
      </w:r>
    </w:p>
    <w:p w:rsidR="00522ACB" w:rsidRPr="008A2C62" w:rsidRDefault="00522ACB" w:rsidP="000C5CA9">
      <w:pPr>
        <w:spacing w:line="480" w:lineRule="auto"/>
        <w:ind w:right="-9" w:firstLine="720"/>
        <w:rPr>
          <w:sz w:val="22"/>
          <w:szCs w:val="22"/>
        </w:rPr>
      </w:pPr>
      <w:r w:rsidRPr="008A2C62">
        <w:rPr>
          <w:sz w:val="22"/>
          <w:szCs w:val="22"/>
        </w:rPr>
        <w:t xml:space="preserve">These would-be urban developers might do well to look to yet another city – Rome.  It is no coincidence that Pope John Paul II does not make the information/formation distinction in </w:t>
      </w:r>
      <w:proofErr w:type="spellStart"/>
      <w:r w:rsidRPr="008A2C62">
        <w:rPr>
          <w:i/>
          <w:sz w:val="22"/>
          <w:szCs w:val="22"/>
        </w:rPr>
        <w:t>Pastores</w:t>
      </w:r>
      <w:proofErr w:type="spellEnd"/>
      <w:r w:rsidRPr="008A2C62">
        <w:rPr>
          <w:i/>
          <w:sz w:val="22"/>
          <w:szCs w:val="22"/>
        </w:rPr>
        <w:t xml:space="preserve"> </w:t>
      </w:r>
      <w:proofErr w:type="spellStart"/>
      <w:r w:rsidRPr="008A2C62">
        <w:rPr>
          <w:i/>
          <w:sz w:val="22"/>
          <w:szCs w:val="22"/>
        </w:rPr>
        <w:t>Dabo</w:t>
      </w:r>
      <w:proofErr w:type="spellEnd"/>
      <w:r w:rsidRPr="008A2C62">
        <w:rPr>
          <w:i/>
          <w:sz w:val="22"/>
          <w:szCs w:val="22"/>
        </w:rPr>
        <w:t xml:space="preserve"> </w:t>
      </w:r>
      <w:proofErr w:type="spellStart"/>
      <w:r w:rsidRPr="008A2C62">
        <w:rPr>
          <w:i/>
          <w:sz w:val="22"/>
          <w:szCs w:val="22"/>
        </w:rPr>
        <w:t>Vobis</w:t>
      </w:r>
      <w:proofErr w:type="spellEnd"/>
      <w:r w:rsidRPr="008A2C62">
        <w:rPr>
          <w:sz w:val="22"/>
          <w:szCs w:val="22"/>
        </w:rPr>
        <w:t xml:space="preserve">, but uses simply the term ‘Formation’.  While he does go on to make an interesting and controversial fourfold categorization between different aspects of formation, they are simply aspects of a single work.  So </w:t>
      </w:r>
      <w:proofErr w:type="spellStart"/>
      <w:r w:rsidRPr="008A2C62">
        <w:rPr>
          <w:sz w:val="22"/>
          <w:szCs w:val="22"/>
        </w:rPr>
        <w:t>Schner</w:t>
      </w:r>
      <w:proofErr w:type="spellEnd"/>
      <w:r w:rsidRPr="008A2C62">
        <w:rPr>
          <w:sz w:val="22"/>
          <w:szCs w:val="22"/>
        </w:rPr>
        <w:t>, writing from a Roman Catholic perspective, could confidently assert that ‘Formation is the key unifying concept in theological education.’</w:t>
      </w:r>
      <w:r w:rsidRPr="008A2C62">
        <w:rPr>
          <w:rStyle w:val="FootnoteReference"/>
          <w:sz w:val="22"/>
          <w:szCs w:val="22"/>
        </w:rPr>
        <w:footnoteReference w:id="48"/>
      </w:r>
      <w:r w:rsidRPr="008A2C62">
        <w:rPr>
          <w:sz w:val="22"/>
          <w:szCs w:val="22"/>
        </w:rPr>
        <w:t xml:space="preserve"> </w:t>
      </w:r>
    </w:p>
    <w:p w:rsidR="00522ACB" w:rsidRPr="008A2C62" w:rsidRDefault="00522ACB" w:rsidP="000C5CA9">
      <w:pPr>
        <w:spacing w:line="480" w:lineRule="auto"/>
        <w:ind w:right="-9" w:firstLine="720"/>
        <w:rPr>
          <w:sz w:val="22"/>
          <w:szCs w:val="22"/>
        </w:rPr>
      </w:pPr>
      <w:r w:rsidRPr="008A2C62">
        <w:rPr>
          <w:sz w:val="22"/>
          <w:szCs w:val="22"/>
        </w:rPr>
        <w:t xml:space="preserve">At the root of this perspective – placing information as simply a sub-category of formation – is the implicit </w:t>
      </w:r>
      <w:r w:rsidRPr="008A2C62">
        <w:rPr>
          <w:i/>
          <w:sz w:val="22"/>
          <w:szCs w:val="22"/>
        </w:rPr>
        <w:t>why</w:t>
      </w:r>
      <w:r w:rsidRPr="008A2C62">
        <w:rPr>
          <w:sz w:val="22"/>
          <w:szCs w:val="22"/>
        </w:rPr>
        <w:t xml:space="preserve">.  Simply put, formation itself </w:t>
      </w:r>
      <w:r w:rsidRPr="008A2C62">
        <w:rPr>
          <w:i/>
          <w:sz w:val="22"/>
          <w:szCs w:val="22"/>
        </w:rPr>
        <w:t>is</w:t>
      </w:r>
      <w:r w:rsidRPr="008A2C62">
        <w:rPr>
          <w:sz w:val="22"/>
          <w:szCs w:val="22"/>
        </w:rPr>
        <w:t xml:space="preserve"> the </w:t>
      </w:r>
      <w:r w:rsidRPr="008A2C62">
        <w:rPr>
          <w:i/>
          <w:sz w:val="22"/>
          <w:szCs w:val="22"/>
        </w:rPr>
        <w:t>why</w:t>
      </w:r>
      <w:r w:rsidRPr="008A2C62">
        <w:rPr>
          <w:sz w:val="22"/>
          <w:szCs w:val="22"/>
        </w:rPr>
        <w:t xml:space="preserve">.  And this can only be tenable if all notions of </w:t>
      </w:r>
      <w:proofErr w:type="spellStart"/>
      <w:r w:rsidRPr="008A2C62">
        <w:rPr>
          <w:i/>
          <w:sz w:val="22"/>
          <w:szCs w:val="22"/>
        </w:rPr>
        <w:t>paideia</w:t>
      </w:r>
      <w:proofErr w:type="spellEnd"/>
      <w:r w:rsidRPr="008A2C62">
        <w:rPr>
          <w:sz w:val="22"/>
          <w:szCs w:val="22"/>
        </w:rPr>
        <w:t xml:space="preserve"> or </w:t>
      </w:r>
      <w:proofErr w:type="spellStart"/>
      <w:r w:rsidRPr="008A2C62">
        <w:rPr>
          <w:i/>
          <w:sz w:val="22"/>
          <w:szCs w:val="22"/>
        </w:rPr>
        <w:t>Wissenschaft</w:t>
      </w:r>
      <w:proofErr w:type="spellEnd"/>
      <w:r w:rsidRPr="008A2C62">
        <w:rPr>
          <w:sz w:val="22"/>
          <w:szCs w:val="22"/>
        </w:rPr>
        <w:t xml:space="preserve"> or </w:t>
      </w:r>
      <w:r w:rsidRPr="008A2C62">
        <w:rPr>
          <w:i/>
          <w:sz w:val="22"/>
          <w:szCs w:val="22"/>
        </w:rPr>
        <w:t>mission</w:t>
      </w:r>
      <w:r w:rsidRPr="008A2C62">
        <w:rPr>
          <w:sz w:val="22"/>
          <w:szCs w:val="22"/>
        </w:rPr>
        <w:t xml:space="preserve"> as a </w:t>
      </w:r>
      <w:r w:rsidRPr="008A2C62">
        <w:rPr>
          <w:i/>
          <w:sz w:val="22"/>
          <w:szCs w:val="22"/>
        </w:rPr>
        <w:t xml:space="preserve">why </w:t>
      </w:r>
      <w:r w:rsidRPr="008A2C62">
        <w:rPr>
          <w:sz w:val="22"/>
          <w:szCs w:val="22"/>
        </w:rPr>
        <w:t>are dismissed.  It is not simply that students are being formed, but that they are being formed ‘to be a “living image” of Jesus Christ, Head and Shepherd of the Church…’</w:t>
      </w:r>
      <w:r w:rsidRPr="008A2C62">
        <w:rPr>
          <w:rStyle w:val="FootnoteReference"/>
          <w:sz w:val="22"/>
          <w:szCs w:val="22"/>
        </w:rPr>
        <w:footnoteReference w:id="49"/>
      </w:r>
      <w:r w:rsidRPr="008A2C62">
        <w:rPr>
          <w:sz w:val="22"/>
          <w:szCs w:val="22"/>
        </w:rPr>
        <w:t xml:space="preserve">  </w:t>
      </w:r>
      <w:proofErr w:type="gramStart"/>
      <w:r w:rsidRPr="008A2C62">
        <w:rPr>
          <w:sz w:val="22"/>
          <w:szCs w:val="22"/>
        </w:rPr>
        <w:t>So</w:t>
      </w:r>
      <w:proofErr w:type="gramEnd"/>
      <w:r w:rsidRPr="008A2C62">
        <w:rPr>
          <w:sz w:val="22"/>
          <w:szCs w:val="22"/>
        </w:rPr>
        <w:t xml:space="preserve"> the </w:t>
      </w:r>
      <w:r w:rsidRPr="008A2C62">
        <w:rPr>
          <w:i/>
          <w:sz w:val="22"/>
          <w:szCs w:val="22"/>
        </w:rPr>
        <w:t>why</w:t>
      </w:r>
      <w:r w:rsidRPr="008A2C62">
        <w:rPr>
          <w:sz w:val="22"/>
          <w:szCs w:val="22"/>
        </w:rPr>
        <w:t xml:space="preserve"> of formation ‘is to develop a relationship of deep communion and friendship’ with </w:t>
      </w:r>
      <w:proofErr w:type="spellStart"/>
      <w:r w:rsidRPr="008A2C62">
        <w:rPr>
          <w:sz w:val="22"/>
          <w:szCs w:val="22"/>
        </w:rPr>
        <w:t>Yeshua</w:t>
      </w:r>
      <w:proofErr w:type="spellEnd"/>
      <w:r w:rsidRPr="008A2C62">
        <w:rPr>
          <w:sz w:val="22"/>
          <w:szCs w:val="22"/>
        </w:rPr>
        <w:t>.</w:t>
      </w:r>
      <w:r w:rsidRPr="008A2C62">
        <w:rPr>
          <w:rStyle w:val="FootnoteReference"/>
          <w:sz w:val="22"/>
          <w:szCs w:val="22"/>
        </w:rPr>
        <w:footnoteReference w:id="50"/>
      </w:r>
    </w:p>
    <w:p w:rsidR="008A1E31" w:rsidRPr="008A2C62" w:rsidRDefault="0006061A" w:rsidP="000C5CA9">
      <w:pPr>
        <w:spacing w:line="480" w:lineRule="auto"/>
        <w:ind w:right="-9" w:firstLine="720"/>
        <w:rPr>
          <w:sz w:val="22"/>
          <w:szCs w:val="22"/>
        </w:rPr>
      </w:pPr>
      <w:r w:rsidRPr="008A2C62">
        <w:rPr>
          <w:sz w:val="22"/>
          <w:szCs w:val="22"/>
        </w:rPr>
        <w:t xml:space="preserve">With this view of the </w:t>
      </w:r>
      <w:r w:rsidRPr="008A2C62">
        <w:rPr>
          <w:i/>
          <w:sz w:val="22"/>
          <w:szCs w:val="22"/>
        </w:rPr>
        <w:t>why</w:t>
      </w:r>
      <w:r w:rsidRPr="008A2C62">
        <w:rPr>
          <w:sz w:val="22"/>
          <w:szCs w:val="22"/>
        </w:rPr>
        <w:t xml:space="preserve">, the </w:t>
      </w:r>
      <w:r w:rsidRPr="008A2C62">
        <w:rPr>
          <w:i/>
          <w:sz w:val="22"/>
          <w:szCs w:val="22"/>
        </w:rPr>
        <w:t>how</w:t>
      </w:r>
      <w:r w:rsidRPr="008A2C62">
        <w:rPr>
          <w:sz w:val="22"/>
          <w:szCs w:val="22"/>
        </w:rPr>
        <w:t xml:space="preserve"> and </w:t>
      </w:r>
      <w:proofErr w:type="gramStart"/>
      <w:r w:rsidRPr="008A2C62">
        <w:rPr>
          <w:sz w:val="22"/>
          <w:szCs w:val="22"/>
        </w:rPr>
        <w:t xml:space="preserve">the </w:t>
      </w:r>
      <w:r w:rsidRPr="008A2C62">
        <w:rPr>
          <w:i/>
          <w:sz w:val="22"/>
          <w:szCs w:val="22"/>
        </w:rPr>
        <w:t>what</w:t>
      </w:r>
      <w:proofErr w:type="gramEnd"/>
      <w:r w:rsidRPr="008A2C62">
        <w:rPr>
          <w:sz w:val="22"/>
          <w:szCs w:val="22"/>
        </w:rPr>
        <w:t xml:space="preserve"> </w:t>
      </w:r>
      <w:r w:rsidR="008A1E31" w:rsidRPr="008A2C62">
        <w:rPr>
          <w:sz w:val="22"/>
          <w:szCs w:val="22"/>
        </w:rPr>
        <w:t>become question</w:t>
      </w:r>
      <w:r w:rsidRPr="008A2C62">
        <w:rPr>
          <w:sz w:val="22"/>
          <w:szCs w:val="22"/>
        </w:rPr>
        <w:t>s</w:t>
      </w:r>
      <w:r w:rsidR="008A1E31" w:rsidRPr="008A2C62">
        <w:rPr>
          <w:sz w:val="22"/>
          <w:szCs w:val="22"/>
        </w:rPr>
        <w:t xml:space="preserve"> of </w:t>
      </w:r>
      <w:r w:rsidRPr="008A2C62">
        <w:rPr>
          <w:sz w:val="22"/>
          <w:szCs w:val="22"/>
        </w:rPr>
        <w:t>embracing</w:t>
      </w:r>
      <w:r w:rsidR="008A1E31" w:rsidRPr="008A2C62">
        <w:rPr>
          <w:sz w:val="22"/>
          <w:szCs w:val="22"/>
        </w:rPr>
        <w:t xml:space="preserve"> students and faculty and curriculum alike in this ‘deep communion’ with the Messiah.</w:t>
      </w:r>
    </w:p>
    <w:p w:rsidR="002E4EE7" w:rsidRPr="008A2C62" w:rsidRDefault="0006061A" w:rsidP="000C5CA9">
      <w:pPr>
        <w:spacing w:line="480" w:lineRule="auto"/>
        <w:ind w:firstLine="720"/>
        <w:rPr>
          <w:sz w:val="22"/>
          <w:szCs w:val="22"/>
        </w:rPr>
      </w:pPr>
      <w:r w:rsidRPr="008A2C62">
        <w:rPr>
          <w:sz w:val="22"/>
          <w:szCs w:val="22"/>
        </w:rPr>
        <w:t xml:space="preserve"> </w:t>
      </w:r>
      <w:r w:rsidR="002E4EE7" w:rsidRPr="008A2C62">
        <w:rPr>
          <w:sz w:val="22"/>
          <w:szCs w:val="22"/>
        </w:rPr>
        <w:t>‘And starting from Moses and from all the prophets, He expounded to them in all the Writings those things about Himself.’</w:t>
      </w:r>
      <w:r w:rsidR="002E4EE7" w:rsidRPr="008A2C62">
        <w:rPr>
          <w:rStyle w:val="FootnoteReference"/>
          <w:sz w:val="22"/>
          <w:szCs w:val="22"/>
        </w:rPr>
        <w:footnoteReference w:id="51"/>
      </w:r>
    </w:p>
    <w:p w:rsidR="00105E9C" w:rsidRPr="008A2C62" w:rsidRDefault="0006061A" w:rsidP="000C5CA9">
      <w:pPr>
        <w:spacing w:line="480" w:lineRule="auto"/>
        <w:ind w:right="-9" w:firstLine="720"/>
        <w:rPr>
          <w:sz w:val="22"/>
          <w:szCs w:val="22"/>
        </w:rPr>
      </w:pPr>
      <w:r w:rsidRPr="008A2C62">
        <w:rPr>
          <w:sz w:val="22"/>
          <w:szCs w:val="22"/>
        </w:rPr>
        <w:t xml:space="preserve"> </w:t>
      </w:r>
      <w:r w:rsidR="002E4EE7" w:rsidRPr="008A2C62">
        <w:rPr>
          <w:sz w:val="22"/>
          <w:szCs w:val="22"/>
        </w:rPr>
        <w:t xml:space="preserve">‘You call me the Teacher and the Lord,’ </w:t>
      </w:r>
      <w:proofErr w:type="spellStart"/>
      <w:r w:rsidR="002E4EE7" w:rsidRPr="008A2C62">
        <w:rPr>
          <w:sz w:val="22"/>
          <w:szCs w:val="22"/>
        </w:rPr>
        <w:t>Yeshua</w:t>
      </w:r>
      <w:proofErr w:type="spellEnd"/>
      <w:r w:rsidR="002E4EE7" w:rsidRPr="008A2C62">
        <w:rPr>
          <w:sz w:val="22"/>
          <w:szCs w:val="22"/>
        </w:rPr>
        <w:t xml:space="preserve"> said to his disciples, ‘and you speak well, for I am.’</w:t>
      </w:r>
      <w:r w:rsidR="002E4EE7" w:rsidRPr="008A2C62">
        <w:rPr>
          <w:rStyle w:val="FootnoteReference"/>
          <w:sz w:val="22"/>
          <w:szCs w:val="22"/>
        </w:rPr>
        <w:footnoteReference w:id="52"/>
      </w:r>
      <w:r w:rsidR="002E4EE7" w:rsidRPr="008A2C62">
        <w:rPr>
          <w:sz w:val="22"/>
          <w:szCs w:val="22"/>
        </w:rPr>
        <w:t xml:space="preserve">  To affirm the good confession that ‘</w:t>
      </w:r>
      <w:proofErr w:type="spellStart"/>
      <w:r w:rsidR="002E4EE7" w:rsidRPr="008A2C62">
        <w:rPr>
          <w:i/>
          <w:sz w:val="22"/>
          <w:szCs w:val="22"/>
        </w:rPr>
        <w:t>Iesous</w:t>
      </w:r>
      <w:proofErr w:type="spellEnd"/>
      <w:r w:rsidR="002E4EE7" w:rsidRPr="008A2C62">
        <w:rPr>
          <w:i/>
          <w:sz w:val="22"/>
          <w:szCs w:val="22"/>
        </w:rPr>
        <w:t xml:space="preserve"> </w:t>
      </w:r>
      <w:proofErr w:type="spellStart"/>
      <w:r w:rsidR="002E4EE7" w:rsidRPr="008A2C62">
        <w:rPr>
          <w:i/>
          <w:sz w:val="22"/>
          <w:szCs w:val="22"/>
        </w:rPr>
        <w:t>Kurios</w:t>
      </w:r>
      <w:proofErr w:type="spellEnd"/>
      <w:r w:rsidR="002E4EE7" w:rsidRPr="008A2C62">
        <w:rPr>
          <w:sz w:val="22"/>
          <w:szCs w:val="22"/>
        </w:rPr>
        <w:t xml:space="preserve">’ – </w:t>
      </w:r>
      <w:proofErr w:type="spellStart"/>
      <w:r w:rsidR="002E4EE7" w:rsidRPr="008A2C62">
        <w:rPr>
          <w:sz w:val="22"/>
          <w:szCs w:val="22"/>
        </w:rPr>
        <w:t>Yeshua</w:t>
      </w:r>
      <w:proofErr w:type="spellEnd"/>
      <w:r w:rsidR="002E4EE7" w:rsidRPr="008A2C62">
        <w:rPr>
          <w:sz w:val="22"/>
          <w:szCs w:val="22"/>
        </w:rPr>
        <w:t xml:space="preserve"> is Lord – is to simultaneously affirm that he is Teacher.  </w:t>
      </w:r>
      <w:r w:rsidR="00105E9C" w:rsidRPr="008A2C62">
        <w:rPr>
          <w:sz w:val="22"/>
          <w:szCs w:val="22"/>
        </w:rPr>
        <w:t xml:space="preserve">And if, as the confession implies, the Passion and Resurrection of Messiah are also here affirmed, then </w:t>
      </w:r>
      <w:proofErr w:type="spellStart"/>
      <w:r w:rsidR="00105E9C" w:rsidRPr="008A2C62">
        <w:rPr>
          <w:sz w:val="22"/>
          <w:szCs w:val="22"/>
        </w:rPr>
        <w:t>Yeshua</w:t>
      </w:r>
      <w:proofErr w:type="spellEnd"/>
      <w:r w:rsidR="00105E9C" w:rsidRPr="008A2C62">
        <w:rPr>
          <w:sz w:val="22"/>
          <w:szCs w:val="22"/>
        </w:rPr>
        <w:t xml:space="preserve"> is not simply the Teacher.</w:t>
      </w:r>
      <w:r w:rsidRPr="008A2C62">
        <w:rPr>
          <w:sz w:val="22"/>
          <w:szCs w:val="22"/>
        </w:rPr>
        <w:t xml:space="preserve">  </w:t>
      </w:r>
      <w:r w:rsidR="00105E9C" w:rsidRPr="008A2C62">
        <w:rPr>
          <w:sz w:val="22"/>
          <w:szCs w:val="22"/>
        </w:rPr>
        <w:t xml:space="preserve">He is still teaching.  </w:t>
      </w:r>
    </w:p>
    <w:p w:rsidR="00105E9C" w:rsidRPr="008A2C62" w:rsidRDefault="0006061A" w:rsidP="00226797">
      <w:pPr>
        <w:spacing w:line="480" w:lineRule="auto"/>
        <w:ind w:right="-9" w:firstLine="720"/>
        <w:rPr>
          <w:sz w:val="22"/>
          <w:szCs w:val="22"/>
        </w:rPr>
      </w:pPr>
      <w:r w:rsidRPr="008A2C62">
        <w:rPr>
          <w:sz w:val="22"/>
          <w:szCs w:val="22"/>
        </w:rPr>
        <w:t xml:space="preserve">God is still explaining redemption to those </w:t>
      </w:r>
      <w:r w:rsidR="00226797" w:rsidRPr="008A2C62">
        <w:rPr>
          <w:sz w:val="22"/>
          <w:szCs w:val="22"/>
        </w:rPr>
        <w:t xml:space="preserve">travellers </w:t>
      </w:r>
      <w:r w:rsidRPr="008A2C62">
        <w:rPr>
          <w:sz w:val="22"/>
          <w:szCs w:val="22"/>
        </w:rPr>
        <w:t>who will listen</w:t>
      </w:r>
      <w:r w:rsidR="00226797" w:rsidRPr="008A2C62">
        <w:rPr>
          <w:sz w:val="22"/>
          <w:szCs w:val="22"/>
        </w:rPr>
        <w:t>.</w:t>
      </w:r>
    </w:p>
    <w:p w:rsidR="00105E9C" w:rsidRPr="008A2C62" w:rsidRDefault="00105E9C" w:rsidP="000C5CA9">
      <w:pPr>
        <w:spacing w:line="480" w:lineRule="auto"/>
        <w:ind w:right="-9" w:firstLine="720"/>
        <w:rPr>
          <w:sz w:val="22"/>
          <w:szCs w:val="22"/>
        </w:rPr>
      </w:pPr>
      <w:r w:rsidRPr="008A2C62">
        <w:rPr>
          <w:sz w:val="22"/>
          <w:szCs w:val="22"/>
        </w:rPr>
        <w:lastRenderedPageBreak/>
        <w:t xml:space="preserve">Theological education is by rights the precinct of Messiah.  The task of theological education is to bring the students to Messiah, and let them learn from Him.  </w:t>
      </w:r>
    </w:p>
    <w:p w:rsidR="00463E22" w:rsidRPr="008A2C62" w:rsidRDefault="008E1217" w:rsidP="00E12F3E">
      <w:pPr>
        <w:spacing w:line="480" w:lineRule="auto"/>
        <w:ind w:right="-9" w:firstLine="720"/>
        <w:rPr>
          <w:sz w:val="22"/>
          <w:szCs w:val="22"/>
        </w:rPr>
      </w:pPr>
      <w:r>
        <w:rPr>
          <w:sz w:val="22"/>
          <w:szCs w:val="22"/>
        </w:rPr>
        <w:t>T</w:t>
      </w:r>
      <w:r w:rsidR="00EC6849" w:rsidRPr="008A2C62">
        <w:rPr>
          <w:sz w:val="22"/>
          <w:szCs w:val="22"/>
        </w:rPr>
        <w:t>he way</w:t>
      </w:r>
      <w:r>
        <w:rPr>
          <w:sz w:val="22"/>
          <w:szCs w:val="22"/>
        </w:rPr>
        <w:t xml:space="preserve"> now</w:t>
      </w:r>
      <w:r w:rsidR="00E12F3E" w:rsidRPr="008A2C62">
        <w:rPr>
          <w:sz w:val="22"/>
          <w:szCs w:val="22"/>
        </w:rPr>
        <w:t xml:space="preserve"> opens for a different understanding of theological education, and thus of formation.  Here Pilli’s demarcation, referenced earlier, proves valuable. There are three discrete questions to be answered: given this understanding of the </w:t>
      </w:r>
      <w:r w:rsidR="00E12F3E" w:rsidRPr="008A2C62">
        <w:rPr>
          <w:i/>
          <w:sz w:val="22"/>
          <w:szCs w:val="22"/>
        </w:rPr>
        <w:t>why</w:t>
      </w:r>
      <w:r w:rsidR="00E12F3E" w:rsidRPr="008A2C62">
        <w:rPr>
          <w:sz w:val="22"/>
          <w:szCs w:val="22"/>
        </w:rPr>
        <w:t>, what then is theology, what then is education, and what then is their synthesis, theological education?  The answer to these questions can be found along the Emmaus road.</w:t>
      </w:r>
    </w:p>
    <w:p w:rsidR="00E12F3E" w:rsidRPr="008A2C62" w:rsidRDefault="00E12F3E" w:rsidP="00E12F3E">
      <w:pPr>
        <w:spacing w:line="480" w:lineRule="auto"/>
        <w:ind w:right="-9" w:firstLine="720"/>
        <w:rPr>
          <w:sz w:val="22"/>
          <w:szCs w:val="22"/>
        </w:rPr>
      </w:pPr>
      <w:r w:rsidRPr="008A2C62">
        <w:rPr>
          <w:sz w:val="22"/>
          <w:szCs w:val="22"/>
        </w:rPr>
        <w:t xml:space="preserve">The evangelist writes, ‘And it happened that, in the midst of their talking and questioning, </w:t>
      </w:r>
      <w:proofErr w:type="spellStart"/>
      <w:r w:rsidRPr="008A2C62">
        <w:rPr>
          <w:sz w:val="22"/>
          <w:szCs w:val="22"/>
        </w:rPr>
        <w:t>Yeshua</w:t>
      </w:r>
      <w:proofErr w:type="spellEnd"/>
      <w:r w:rsidRPr="008A2C62">
        <w:rPr>
          <w:sz w:val="22"/>
          <w:szCs w:val="22"/>
        </w:rPr>
        <w:t xml:space="preserve"> himself </w:t>
      </w:r>
      <w:r w:rsidR="00D4393E" w:rsidRPr="008A2C62">
        <w:rPr>
          <w:sz w:val="22"/>
          <w:szCs w:val="22"/>
        </w:rPr>
        <w:t>drew</w:t>
      </w:r>
      <w:r w:rsidRPr="008A2C62">
        <w:rPr>
          <w:sz w:val="22"/>
          <w:szCs w:val="22"/>
        </w:rPr>
        <w:t xml:space="preserve"> near, and travelled with them.’</w:t>
      </w:r>
      <w:r w:rsidRPr="008A2C62">
        <w:rPr>
          <w:rStyle w:val="FootnoteReference"/>
          <w:sz w:val="22"/>
          <w:szCs w:val="22"/>
        </w:rPr>
        <w:footnoteReference w:id="53"/>
      </w:r>
    </w:p>
    <w:p w:rsidR="00E12F3E" w:rsidRPr="008A2C62" w:rsidRDefault="00D4393E" w:rsidP="00E12F3E">
      <w:pPr>
        <w:spacing w:line="480" w:lineRule="auto"/>
        <w:ind w:right="-9" w:firstLine="720"/>
        <w:rPr>
          <w:sz w:val="22"/>
          <w:szCs w:val="22"/>
        </w:rPr>
      </w:pPr>
      <w:proofErr w:type="spellStart"/>
      <w:r w:rsidRPr="008A2C62">
        <w:rPr>
          <w:sz w:val="22"/>
          <w:szCs w:val="22"/>
        </w:rPr>
        <w:t>Yeshua</w:t>
      </w:r>
      <w:proofErr w:type="spellEnd"/>
      <w:r w:rsidRPr="008A2C62">
        <w:rPr>
          <w:sz w:val="22"/>
          <w:szCs w:val="22"/>
        </w:rPr>
        <w:t xml:space="preserve"> ‘drew near’ to the travellers.  God shattered into their desperate attempts to reason through the unreasonable.  Theological education starts when God appears.  Theology is theophany.</w:t>
      </w:r>
    </w:p>
    <w:p w:rsidR="004A1D5A" w:rsidRPr="008A2C62" w:rsidRDefault="00D4393E" w:rsidP="004A1D5A">
      <w:pPr>
        <w:spacing w:line="480" w:lineRule="auto"/>
        <w:ind w:right="-9" w:firstLine="720"/>
        <w:rPr>
          <w:sz w:val="22"/>
          <w:szCs w:val="22"/>
        </w:rPr>
      </w:pPr>
      <w:r w:rsidRPr="008A2C62">
        <w:rPr>
          <w:sz w:val="22"/>
          <w:szCs w:val="22"/>
        </w:rPr>
        <w:t xml:space="preserve">Henri </w:t>
      </w:r>
      <w:proofErr w:type="spellStart"/>
      <w:r w:rsidRPr="008A2C62">
        <w:rPr>
          <w:sz w:val="22"/>
          <w:szCs w:val="22"/>
        </w:rPr>
        <w:t>Nouwen</w:t>
      </w:r>
      <w:proofErr w:type="spellEnd"/>
      <w:r w:rsidRPr="008A2C62">
        <w:rPr>
          <w:sz w:val="22"/>
          <w:szCs w:val="22"/>
        </w:rPr>
        <w:t xml:space="preserve"> wrote, ‘Training for service is not a training…to conquer God but to surrender to his saving power.’</w:t>
      </w:r>
      <w:r w:rsidRPr="008A2C62">
        <w:rPr>
          <w:rStyle w:val="FootnoteReference"/>
          <w:sz w:val="22"/>
          <w:szCs w:val="22"/>
        </w:rPr>
        <w:footnoteReference w:id="54"/>
      </w:r>
      <w:r w:rsidR="004A1D5A" w:rsidRPr="008A2C62">
        <w:rPr>
          <w:sz w:val="22"/>
          <w:szCs w:val="22"/>
        </w:rPr>
        <w:t xml:space="preserve">  If theology is </w:t>
      </w:r>
      <w:r w:rsidR="00DE1002" w:rsidRPr="008A2C62">
        <w:rPr>
          <w:sz w:val="22"/>
          <w:szCs w:val="22"/>
        </w:rPr>
        <w:t xml:space="preserve">intellectual </w:t>
      </w:r>
      <w:r w:rsidR="004A1D5A" w:rsidRPr="008A2C62">
        <w:rPr>
          <w:sz w:val="22"/>
          <w:szCs w:val="22"/>
        </w:rPr>
        <w:t>conquest, mere study of God, then the detached critical analysis of texts about him, or the rote memorization of centuries-old catechisms, is sufficient to gain mast</w:t>
      </w:r>
      <w:r w:rsidR="00DE1002" w:rsidRPr="008A2C62">
        <w:rPr>
          <w:sz w:val="22"/>
          <w:szCs w:val="22"/>
        </w:rPr>
        <w:t>ery of it.  But if theology is spiritual</w:t>
      </w:r>
      <w:r w:rsidR="004A1D5A" w:rsidRPr="008A2C62">
        <w:rPr>
          <w:sz w:val="22"/>
          <w:szCs w:val="22"/>
        </w:rPr>
        <w:t xml:space="preserve"> surrender, an abiding intimacy with God, then academic research and theological texts can be at best a prop, a tool, or an inspiration to aid the individual in their own knowing of God.  </w:t>
      </w:r>
    </w:p>
    <w:p w:rsidR="00572057" w:rsidRPr="008A2C62" w:rsidRDefault="00572057" w:rsidP="00572057">
      <w:pPr>
        <w:spacing w:line="480" w:lineRule="auto"/>
        <w:ind w:right="-9" w:firstLine="720"/>
        <w:rPr>
          <w:sz w:val="22"/>
          <w:szCs w:val="22"/>
        </w:rPr>
      </w:pPr>
      <w:r w:rsidRPr="008A2C62">
        <w:rPr>
          <w:sz w:val="22"/>
          <w:szCs w:val="22"/>
        </w:rPr>
        <w:t>Nor</w:t>
      </w:r>
      <w:r w:rsidR="004A1D5A" w:rsidRPr="008A2C62">
        <w:rPr>
          <w:sz w:val="22"/>
          <w:szCs w:val="22"/>
        </w:rPr>
        <w:t xml:space="preserve"> everyone will find them helpful.  The most refined </w:t>
      </w:r>
      <w:r w:rsidR="00DA7BEE" w:rsidRPr="008A2C62">
        <w:rPr>
          <w:sz w:val="22"/>
          <w:szCs w:val="22"/>
        </w:rPr>
        <w:t>theologies</w:t>
      </w:r>
      <w:r w:rsidR="004A1D5A" w:rsidRPr="008A2C62">
        <w:rPr>
          <w:sz w:val="22"/>
          <w:szCs w:val="22"/>
        </w:rPr>
        <w:t xml:space="preserve"> may never find their way into an academic journal</w:t>
      </w:r>
      <w:r w:rsidR="00DA7BEE" w:rsidRPr="008A2C62">
        <w:rPr>
          <w:sz w:val="22"/>
          <w:szCs w:val="22"/>
        </w:rPr>
        <w:t>.  They might be put onto canvas, or find their expression cleaning carpets</w:t>
      </w:r>
      <w:r w:rsidR="004A1D5A" w:rsidRPr="008A2C62">
        <w:rPr>
          <w:sz w:val="22"/>
          <w:szCs w:val="22"/>
        </w:rPr>
        <w:t xml:space="preserve">.  </w:t>
      </w:r>
      <w:r w:rsidRPr="008A2C62">
        <w:rPr>
          <w:sz w:val="22"/>
          <w:szCs w:val="22"/>
        </w:rPr>
        <w:t>Whatever best expresses the individual’s intimacy with God becomes the correct venue for their theology.</w:t>
      </w:r>
    </w:p>
    <w:p w:rsidR="00572057" w:rsidRPr="008A2C62" w:rsidRDefault="00572057" w:rsidP="00572057">
      <w:pPr>
        <w:spacing w:line="480" w:lineRule="auto"/>
        <w:ind w:right="-9" w:firstLine="720"/>
        <w:rPr>
          <w:sz w:val="22"/>
          <w:szCs w:val="22"/>
        </w:rPr>
      </w:pPr>
      <w:r w:rsidRPr="008A2C62">
        <w:rPr>
          <w:sz w:val="22"/>
          <w:szCs w:val="22"/>
        </w:rPr>
        <w:t>‘In this sense,’ Andrew Kirk said, ‘neither biblical studies nor systematic theology on their own can be called theology proper.  Only when they engage with every level of culture do they become part of a genuine theological undertaking.’</w:t>
      </w:r>
      <w:r w:rsidRPr="008A2C62">
        <w:rPr>
          <w:rStyle w:val="FootnoteReference"/>
          <w:sz w:val="22"/>
          <w:szCs w:val="22"/>
        </w:rPr>
        <w:footnoteReference w:id="55"/>
      </w:r>
    </w:p>
    <w:p w:rsidR="002B23EA" w:rsidRPr="008A2C62" w:rsidRDefault="009E0B9F" w:rsidP="00572057">
      <w:pPr>
        <w:spacing w:line="480" w:lineRule="auto"/>
        <w:ind w:right="-9" w:firstLine="720"/>
        <w:rPr>
          <w:sz w:val="22"/>
          <w:szCs w:val="22"/>
        </w:rPr>
      </w:pPr>
      <w:proofErr w:type="spellStart"/>
      <w:r w:rsidRPr="008A2C62">
        <w:rPr>
          <w:sz w:val="22"/>
          <w:szCs w:val="22"/>
        </w:rPr>
        <w:t>Yeshua</w:t>
      </w:r>
      <w:proofErr w:type="spellEnd"/>
      <w:r w:rsidRPr="008A2C62">
        <w:rPr>
          <w:sz w:val="22"/>
          <w:szCs w:val="22"/>
        </w:rPr>
        <w:t xml:space="preserve"> </w:t>
      </w:r>
      <w:r w:rsidR="008E1217">
        <w:rPr>
          <w:sz w:val="22"/>
          <w:szCs w:val="22"/>
        </w:rPr>
        <w:t>also</w:t>
      </w:r>
      <w:r w:rsidRPr="008A2C62">
        <w:rPr>
          <w:sz w:val="22"/>
          <w:szCs w:val="22"/>
        </w:rPr>
        <w:t xml:space="preserve"> ‘travelled with them’.  This was no </w:t>
      </w:r>
      <w:r w:rsidR="0009547A" w:rsidRPr="008A2C62">
        <w:rPr>
          <w:sz w:val="22"/>
          <w:szCs w:val="22"/>
        </w:rPr>
        <w:t xml:space="preserve">momentary </w:t>
      </w:r>
      <w:r w:rsidRPr="008A2C62">
        <w:rPr>
          <w:sz w:val="22"/>
          <w:szCs w:val="22"/>
        </w:rPr>
        <w:t xml:space="preserve">vision of </w:t>
      </w:r>
      <w:r w:rsidR="0009547A" w:rsidRPr="008A2C62">
        <w:rPr>
          <w:sz w:val="22"/>
          <w:szCs w:val="22"/>
        </w:rPr>
        <w:t xml:space="preserve">beatific </w:t>
      </w:r>
      <w:r w:rsidRPr="008A2C62">
        <w:rPr>
          <w:sz w:val="22"/>
          <w:szCs w:val="22"/>
        </w:rPr>
        <w:t xml:space="preserve">glory.  This was the Lord and Teacher in flesh and blood walking alongside them, sharing their road, asking </w:t>
      </w:r>
      <w:proofErr w:type="gramStart"/>
      <w:r w:rsidRPr="008A2C62">
        <w:rPr>
          <w:sz w:val="22"/>
          <w:szCs w:val="22"/>
        </w:rPr>
        <w:t>them</w:t>
      </w:r>
      <w:proofErr w:type="gramEnd"/>
      <w:r w:rsidRPr="008A2C62">
        <w:rPr>
          <w:sz w:val="22"/>
          <w:szCs w:val="22"/>
        </w:rPr>
        <w:t xml:space="preserve"> questions.  </w:t>
      </w:r>
      <w:r w:rsidR="00DE1002" w:rsidRPr="008A2C62">
        <w:rPr>
          <w:sz w:val="22"/>
          <w:szCs w:val="22"/>
        </w:rPr>
        <w:lastRenderedPageBreak/>
        <w:t xml:space="preserve">So education, in this sense, is the intersection of the divine with the human on the human level.  </w:t>
      </w:r>
      <w:r w:rsidRPr="008A2C62">
        <w:rPr>
          <w:sz w:val="22"/>
          <w:szCs w:val="22"/>
        </w:rPr>
        <w:t>Education is incarnation.</w:t>
      </w:r>
      <w:r w:rsidR="002B23EA" w:rsidRPr="008A2C62">
        <w:rPr>
          <w:sz w:val="22"/>
          <w:szCs w:val="22"/>
        </w:rPr>
        <w:t xml:space="preserve">  </w:t>
      </w:r>
    </w:p>
    <w:p w:rsidR="00572057" w:rsidRPr="008A2C62" w:rsidRDefault="002B23EA" w:rsidP="00572057">
      <w:pPr>
        <w:spacing w:line="480" w:lineRule="auto"/>
        <w:ind w:right="-9" w:firstLine="720"/>
        <w:rPr>
          <w:sz w:val="22"/>
          <w:szCs w:val="22"/>
        </w:rPr>
      </w:pPr>
      <w:r w:rsidRPr="008A2C62">
        <w:rPr>
          <w:sz w:val="22"/>
          <w:szCs w:val="22"/>
        </w:rPr>
        <w:t>‘</w:t>
      </w:r>
      <w:r w:rsidR="00706383" w:rsidRPr="008A2C62">
        <w:rPr>
          <w:sz w:val="22"/>
          <w:szCs w:val="22"/>
        </w:rPr>
        <w:t>It is through the sharing of a person’s life</w:t>
      </w:r>
      <w:r w:rsidR="008E1217">
        <w:rPr>
          <w:sz w:val="22"/>
          <w:szCs w:val="22"/>
        </w:rPr>
        <w:t xml:space="preserve"> as well as their belief,’ Banks said, ‘</w:t>
      </w:r>
      <w:r w:rsidR="00706383" w:rsidRPr="008A2C62">
        <w:rPr>
          <w:sz w:val="22"/>
          <w:szCs w:val="22"/>
        </w:rPr>
        <w:t>that life-giving change comes to others.  Truths must be embodied as well as articulated, incarnated as well as revealed.’</w:t>
      </w:r>
      <w:r w:rsidR="00706383" w:rsidRPr="008A2C62">
        <w:rPr>
          <w:rStyle w:val="FootnoteReference"/>
          <w:sz w:val="22"/>
          <w:szCs w:val="22"/>
        </w:rPr>
        <w:footnoteReference w:id="56"/>
      </w:r>
    </w:p>
    <w:p w:rsidR="00DE1002" w:rsidRPr="008A2C62" w:rsidRDefault="00DE1002" w:rsidP="00572057">
      <w:pPr>
        <w:spacing w:line="480" w:lineRule="auto"/>
        <w:ind w:right="-9" w:firstLine="720"/>
        <w:rPr>
          <w:sz w:val="22"/>
          <w:szCs w:val="22"/>
        </w:rPr>
      </w:pPr>
      <w:r w:rsidRPr="008A2C62">
        <w:rPr>
          <w:sz w:val="22"/>
          <w:szCs w:val="22"/>
        </w:rPr>
        <w:t xml:space="preserve">Here an important distinction must be made.  There cannot be a point-for-point correlation between the role of </w:t>
      </w:r>
      <w:proofErr w:type="spellStart"/>
      <w:r w:rsidRPr="008A2C62">
        <w:rPr>
          <w:sz w:val="22"/>
          <w:szCs w:val="22"/>
        </w:rPr>
        <w:t>Yeshua</w:t>
      </w:r>
      <w:proofErr w:type="spellEnd"/>
      <w:r w:rsidRPr="008A2C62">
        <w:rPr>
          <w:sz w:val="22"/>
          <w:szCs w:val="22"/>
        </w:rPr>
        <w:t xml:space="preserve"> as Teacher and the role of other teachers.  No teacher but </w:t>
      </w:r>
      <w:proofErr w:type="spellStart"/>
      <w:r w:rsidRPr="008A2C62">
        <w:rPr>
          <w:sz w:val="22"/>
          <w:szCs w:val="22"/>
        </w:rPr>
        <w:t>Yeshua</w:t>
      </w:r>
      <w:proofErr w:type="spellEnd"/>
      <w:r w:rsidRPr="008A2C62">
        <w:rPr>
          <w:sz w:val="22"/>
          <w:szCs w:val="22"/>
        </w:rPr>
        <w:t xml:space="preserve"> can be the Incarnate One.  </w:t>
      </w:r>
      <w:r w:rsidR="007E5C56" w:rsidRPr="008A2C62">
        <w:rPr>
          <w:sz w:val="22"/>
          <w:szCs w:val="22"/>
        </w:rPr>
        <w:t xml:space="preserve">Although other teachers may wish, for instance, that they could choose their students with divine foreknowledge or speak with infallible wisdom, they simply can’t.  </w:t>
      </w:r>
      <w:proofErr w:type="spellStart"/>
      <w:r w:rsidR="007E5C56" w:rsidRPr="008A2C62">
        <w:rPr>
          <w:sz w:val="22"/>
          <w:szCs w:val="22"/>
        </w:rPr>
        <w:t>Yeshua</w:t>
      </w:r>
      <w:proofErr w:type="spellEnd"/>
      <w:r w:rsidR="007E5C56" w:rsidRPr="008A2C62">
        <w:rPr>
          <w:sz w:val="22"/>
          <w:szCs w:val="22"/>
        </w:rPr>
        <w:t xml:space="preserve"> is not one teacher among many, but ‘the Teacher and the Lord.’</w:t>
      </w:r>
    </w:p>
    <w:p w:rsidR="00706383" w:rsidRPr="008A2C62" w:rsidRDefault="008E1217" w:rsidP="00572057">
      <w:pPr>
        <w:spacing w:line="480" w:lineRule="auto"/>
        <w:ind w:right="-9" w:firstLine="720"/>
        <w:rPr>
          <w:sz w:val="22"/>
          <w:szCs w:val="22"/>
        </w:rPr>
      </w:pPr>
      <w:r>
        <w:rPr>
          <w:sz w:val="22"/>
          <w:szCs w:val="22"/>
        </w:rPr>
        <w:t>A</w:t>
      </w:r>
      <w:r w:rsidR="007E5C56" w:rsidRPr="008A2C62">
        <w:rPr>
          <w:sz w:val="22"/>
          <w:szCs w:val="22"/>
        </w:rPr>
        <w:t xml:space="preserve"> teacher cannot usurp </w:t>
      </w:r>
      <w:proofErr w:type="spellStart"/>
      <w:r w:rsidR="007E5C56" w:rsidRPr="008A2C62">
        <w:rPr>
          <w:sz w:val="22"/>
          <w:szCs w:val="22"/>
        </w:rPr>
        <w:t>Yeshua</w:t>
      </w:r>
      <w:r>
        <w:rPr>
          <w:sz w:val="22"/>
          <w:szCs w:val="22"/>
        </w:rPr>
        <w:t>’s</w:t>
      </w:r>
      <w:proofErr w:type="spellEnd"/>
      <w:r>
        <w:rPr>
          <w:sz w:val="22"/>
          <w:szCs w:val="22"/>
        </w:rPr>
        <w:t xml:space="preserve"> role</w:t>
      </w:r>
      <w:r w:rsidR="007E5C56" w:rsidRPr="008A2C62">
        <w:rPr>
          <w:sz w:val="22"/>
          <w:szCs w:val="22"/>
        </w:rPr>
        <w:t xml:space="preserve"> as Master Teacher in the lives of the students.  What a teacher can do, however, is to ‘draw near’ as a fellow-traveller, a co-disciple.  </w:t>
      </w:r>
      <w:r w:rsidR="00795CC4" w:rsidRPr="008A2C62">
        <w:rPr>
          <w:sz w:val="22"/>
          <w:szCs w:val="22"/>
        </w:rPr>
        <w:t xml:space="preserve">For a time and a season, they walk alongside the students, encouraging them to listen to the Teacher who will walk with them forever.  The role of a teacher then is to point the student in a general direction, not to chart a course or write a guidebook.  </w:t>
      </w:r>
    </w:p>
    <w:p w:rsidR="007E5C56" w:rsidRPr="008A2C62" w:rsidRDefault="007E5C56" w:rsidP="00572057">
      <w:pPr>
        <w:spacing w:line="480" w:lineRule="auto"/>
        <w:ind w:right="-9" w:firstLine="720"/>
        <w:rPr>
          <w:sz w:val="22"/>
          <w:szCs w:val="22"/>
        </w:rPr>
      </w:pPr>
      <w:r w:rsidRPr="008A2C62">
        <w:rPr>
          <w:sz w:val="22"/>
          <w:szCs w:val="22"/>
        </w:rPr>
        <w:t>St. Paul did not merely say to his students ‘Imitate me’, but ‘Imitate me as I imitate Christ.’</w:t>
      </w:r>
      <w:r w:rsidRPr="008A2C62">
        <w:rPr>
          <w:rStyle w:val="FootnoteReference"/>
          <w:sz w:val="22"/>
          <w:szCs w:val="22"/>
        </w:rPr>
        <w:footnoteReference w:id="57"/>
      </w:r>
      <w:r w:rsidR="00706383" w:rsidRPr="008A2C62">
        <w:rPr>
          <w:sz w:val="22"/>
          <w:szCs w:val="22"/>
        </w:rPr>
        <w:t xml:space="preserve">    </w:t>
      </w:r>
      <w:r w:rsidR="004F63DF" w:rsidRPr="008A2C62">
        <w:rPr>
          <w:sz w:val="22"/>
          <w:szCs w:val="22"/>
        </w:rPr>
        <w:t>Teachers must realize that they are themselves eternal students of the Incarnate One, who shares their own road.</w:t>
      </w:r>
      <w:r w:rsidR="006F48E2" w:rsidRPr="008A2C62">
        <w:rPr>
          <w:sz w:val="22"/>
          <w:szCs w:val="22"/>
        </w:rPr>
        <w:t xml:space="preserve">  They cannot incarnate God, but they do incarnate what it means to follow God.  </w:t>
      </w:r>
      <w:r w:rsidR="002B23EA" w:rsidRPr="008A2C62">
        <w:rPr>
          <w:sz w:val="22"/>
          <w:szCs w:val="22"/>
        </w:rPr>
        <w:t xml:space="preserve">As Banks wrote, ‘We do not just </w:t>
      </w:r>
      <w:r w:rsidR="002B23EA" w:rsidRPr="008A2C62">
        <w:rPr>
          <w:i/>
          <w:sz w:val="22"/>
          <w:szCs w:val="22"/>
        </w:rPr>
        <w:t>present</w:t>
      </w:r>
      <w:r w:rsidR="002B23EA" w:rsidRPr="008A2C62">
        <w:rPr>
          <w:sz w:val="22"/>
          <w:szCs w:val="22"/>
        </w:rPr>
        <w:t xml:space="preserve"> </w:t>
      </w:r>
      <w:proofErr w:type="gramStart"/>
      <w:r w:rsidR="002B23EA" w:rsidRPr="008A2C62">
        <w:rPr>
          <w:sz w:val="22"/>
          <w:szCs w:val="22"/>
        </w:rPr>
        <w:t>truth,</w:t>
      </w:r>
      <w:proofErr w:type="gramEnd"/>
      <w:r w:rsidR="002B23EA" w:rsidRPr="008A2C62">
        <w:rPr>
          <w:sz w:val="22"/>
          <w:szCs w:val="22"/>
        </w:rPr>
        <w:t xml:space="preserve"> we must </w:t>
      </w:r>
      <w:r w:rsidR="002B23EA" w:rsidRPr="008A2C62">
        <w:rPr>
          <w:i/>
          <w:sz w:val="22"/>
          <w:szCs w:val="22"/>
        </w:rPr>
        <w:t xml:space="preserve">represent </w:t>
      </w:r>
      <w:r w:rsidR="002B23EA" w:rsidRPr="008A2C62">
        <w:rPr>
          <w:sz w:val="22"/>
          <w:szCs w:val="22"/>
        </w:rPr>
        <w:t xml:space="preserve">it to others.’ </w:t>
      </w:r>
      <w:r w:rsidR="002B23EA" w:rsidRPr="008A2C62">
        <w:rPr>
          <w:rStyle w:val="FootnoteReference"/>
          <w:sz w:val="22"/>
          <w:szCs w:val="22"/>
        </w:rPr>
        <w:footnoteReference w:id="58"/>
      </w:r>
      <w:r w:rsidR="002B23EA" w:rsidRPr="008A2C62">
        <w:rPr>
          <w:sz w:val="22"/>
          <w:szCs w:val="22"/>
        </w:rPr>
        <w:t xml:space="preserve">  </w:t>
      </w:r>
      <w:r w:rsidR="006F48E2" w:rsidRPr="008A2C62">
        <w:rPr>
          <w:sz w:val="22"/>
          <w:szCs w:val="22"/>
        </w:rPr>
        <w:t>They embody what it means to journey with the incarnate Messiah.  The reality of ‘God with us’ appe</w:t>
      </w:r>
      <w:r w:rsidR="002B23EA" w:rsidRPr="008A2C62">
        <w:rPr>
          <w:sz w:val="22"/>
          <w:szCs w:val="22"/>
        </w:rPr>
        <w:t>ars in them.  In other words, e</w:t>
      </w:r>
      <w:r w:rsidR="006F48E2" w:rsidRPr="008A2C62">
        <w:rPr>
          <w:sz w:val="22"/>
          <w:szCs w:val="22"/>
        </w:rPr>
        <w:t>ducation is the incarnation of the Incarnation.</w:t>
      </w:r>
    </w:p>
    <w:p w:rsidR="002B23EA" w:rsidRPr="008A2C62" w:rsidRDefault="008E1217" w:rsidP="002B23EA">
      <w:pPr>
        <w:spacing w:line="480" w:lineRule="auto"/>
        <w:ind w:right="-9" w:firstLine="720"/>
        <w:rPr>
          <w:sz w:val="22"/>
          <w:szCs w:val="22"/>
        </w:rPr>
      </w:pPr>
      <w:r>
        <w:rPr>
          <w:sz w:val="22"/>
          <w:szCs w:val="22"/>
        </w:rPr>
        <w:t>Given</w:t>
      </w:r>
      <w:r w:rsidR="002B23EA" w:rsidRPr="008A2C62">
        <w:rPr>
          <w:sz w:val="22"/>
          <w:szCs w:val="22"/>
        </w:rPr>
        <w:t xml:space="preserve"> this understanding of theology of theophany and education as incarnation, what is theological education?  Perhaps the best answer is the Orthodox concept of theological education as ‘liturgy before liturgy’.  Vladimir </w:t>
      </w:r>
      <w:proofErr w:type="spellStart"/>
      <w:r w:rsidR="002B23EA" w:rsidRPr="008A2C62">
        <w:rPr>
          <w:sz w:val="22"/>
          <w:szCs w:val="22"/>
        </w:rPr>
        <w:t>Feodorov</w:t>
      </w:r>
      <w:proofErr w:type="spellEnd"/>
      <w:r w:rsidR="002B23EA" w:rsidRPr="008A2C62">
        <w:rPr>
          <w:sz w:val="22"/>
          <w:szCs w:val="22"/>
        </w:rPr>
        <w:t xml:space="preserve"> explains that </w:t>
      </w:r>
    </w:p>
    <w:p w:rsidR="00E9701B" w:rsidRPr="008A2C62" w:rsidRDefault="002B23EA" w:rsidP="008E1217">
      <w:pPr>
        <w:spacing w:line="480" w:lineRule="auto"/>
        <w:ind w:left="720" w:right="831"/>
        <w:jc w:val="both"/>
        <w:rPr>
          <w:sz w:val="22"/>
          <w:szCs w:val="22"/>
        </w:rPr>
      </w:pPr>
      <w:r w:rsidRPr="008A2C62">
        <w:rPr>
          <w:sz w:val="22"/>
          <w:szCs w:val="22"/>
        </w:rPr>
        <w:lastRenderedPageBreak/>
        <w:t>‘…preparation for liturgy takes place not only at the personal spiritual level, but also at the level of human historical and natural realities.  In preparing for liturgy, a Christian starts a spiritual journey which affects everything in his or her life: family, properties, authority, positions, and social relations.  It re-orientates the direction of one’s entire human existence towards its sanctification by the Holy Spirit….Religious education…is worship: a “liturgy before liturgy.”’</w:t>
      </w:r>
      <w:r w:rsidRPr="008A2C62">
        <w:rPr>
          <w:rStyle w:val="FootnoteReference"/>
          <w:sz w:val="22"/>
          <w:szCs w:val="22"/>
        </w:rPr>
        <w:footnoteReference w:id="59"/>
      </w:r>
    </w:p>
    <w:p w:rsidR="002B23EA" w:rsidRPr="008A2C62" w:rsidRDefault="00614D0F" w:rsidP="00B32ABD">
      <w:pPr>
        <w:spacing w:line="480" w:lineRule="auto"/>
        <w:ind w:right="-9" w:firstLine="720"/>
        <w:rPr>
          <w:sz w:val="22"/>
          <w:szCs w:val="22"/>
        </w:rPr>
      </w:pPr>
      <w:r w:rsidRPr="008A2C62">
        <w:rPr>
          <w:sz w:val="22"/>
          <w:szCs w:val="22"/>
        </w:rPr>
        <w:t>Theological education is a journey, with Messiah and his disciples, into the heart of God, where those who know him become like him.  ‘Transformed by love,’ said Palmer, ‘we use our minds to recall and recreate the community in which we were created, to know the world in the same spirit in which we are known.’</w:t>
      </w:r>
      <w:r w:rsidR="008E1217">
        <w:rPr>
          <w:rStyle w:val="FootnoteReference"/>
          <w:sz w:val="22"/>
          <w:szCs w:val="22"/>
        </w:rPr>
        <w:footnoteReference w:id="60"/>
      </w:r>
      <w:r w:rsidRPr="008A2C62">
        <w:rPr>
          <w:sz w:val="22"/>
          <w:szCs w:val="22"/>
        </w:rPr>
        <w:t xml:space="preserve">  Theological education, </w:t>
      </w:r>
      <w:r w:rsidR="00B32ABD" w:rsidRPr="008A2C62">
        <w:rPr>
          <w:sz w:val="22"/>
          <w:szCs w:val="22"/>
        </w:rPr>
        <w:t>then, becomes an active worship, incorporating both students and teachers, in which both can learn together from their Teacher and Lord.  What comes first is love for Messiah, and a willingness to learn from him.</w:t>
      </w:r>
      <w:r w:rsidR="00760EDF" w:rsidRPr="008A2C62">
        <w:rPr>
          <w:rStyle w:val="FootnoteReference"/>
          <w:sz w:val="22"/>
          <w:szCs w:val="22"/>
        </w:rPr>
        <w:footnoteReference w:id="61"/>
      </w:r>
      <w:r w:rsidR="00B32ABD" w:rsidRPr="008A2C62">
        <w:rPr>
          <w:sz w:val="22"/>
          <w:szCs w:val="22"/>
        </w:rPr>
        <w:t xml:space="preserve">  Everything else flows from there.</w:t>
      </w:r>
    </w:p>
    <w:p w:rsidR="008E1217" w:rsidRDefault="008E1217" w:rsidP="00B32ABD">
      <w:pPr>
        <w:spacing w:line="480" w:lineRule="auto"/>
        <w:ind w:right="-9" w:firstLine="720"/>
        <w:rPr>
          <w:sz w:val="22"/>
          <w:szCs w:val="22"/>
        </w:rPr>
      </w:pPr>
      <w:r w:rsidRPr="008A2C62">
        <w:rPr>
          <w:sz w:val="22"/>
          <w:szCs w:val="22"/>
        </w:rPr>
        <w:t xml:space="preserve"> </w:t>
      </w:r>
    </w:p>
    <w:p w:rsidR="00B32ABD" w:rsidRPr="008A2C62" w:rsidRDefault="004C28B0" w:rsidP="00B32ABD">
      <w:pPr>
        <w:spacing w:line="480" w:lineRule="auto"/>
        <w:ind w:right="-9" w:firstLine="720"/>
        <w:rPr>
          <w:sz w:val="22"/>
          <w:szCs w:val="22"/>
        </w:rPr>
      </w:pPr>
      <w:r w:rsidRPr="008A2C62">
        <w:rPr>
          <w:sz w:val="22"/>
          <w:szCs w:val="22"/>
        </w:rPr>
        <w:t>‘We cannot settle for pious prayer as a preface for conventional education,’ said Palmer.  ‘Instead, we must use the power of love to transform the very knowledge we teach, the very methods we use to teach and learn it.’</w:t>
      </w:r>
      <w:r w:rsidRPr="008A2C62">
        <w:rPr>
          <w:rStyle w:val="FootnoteReference"/>
          <w:sz w:val="22"/>
          <w:szCs w:val="22"/>
        </w:rPr>
        <w:footnoteReference w:id="62"/>
      </w:r>
    </w:p>
    <w:p w:rsidR="004C28B0" w:rsidRPr="008A2C62" w:rsidRDefault="004C28B0" w:rsidP="00B32ABD">
      <w:pPr>
        <w:spacing w:line="480" w:lineRule="auto"/>
        <w:ind w:right="-9" w:firstLine="720"/>
        <w:rPr>
          <w:sz w:val="22"/>
          <w:szCs w:val="22"/>
        </w:rPr>
      </w:pPr>
      <w:r w:rsidRPr="008A2C62">
        <w:rPr>
          <w:sz w:val="22"/>
          <w:szCs w:val="22"/>
        </w:rPr>
        <w:t>Andre</w:t>
      </w:r>
      <w:r w:rsidR="008E1217">
        <w:rPr>
          <w:sz w:val="22"/>
          <w:szCs w:val="22"/>
        </w:rPr>
        <w:t>w</w:t>
      </w:r>
      <w:r w:rsidRPr="008A2C62">
        <w:rPr>
          <w:sz w:val="22"/>
          <w:szCs w:val="22"/>
        </w:rPr>
        <w:t xml:space="preserve"> Kirk agreed with this sentiment when he wrote, ‘What is needed, in my judgement, is a “conversion” to a different paradigm [of theological education].’</w:t>
      </w:r>
      <w:r w:rsidRPr="008A2C62">
        <w:rPr>
          <w:rStyle w:val="FootnoteReference"/>
          <w:sz w:val="22"/>
          <w:szCs w:val="22"/>
        </w:rPr>
        <w:footnoteReference w:id="63"/>
      </w:r>
    </w:p>
    <w:p w:rsidR="004C28B0" w:rsidRPr="008A2C62" w:rsidRDefault="000E6E71" w:rsidP="00B32ABD">
      <w:pPr>
        <w:spacing w:line="480" w:lineRule="auto"/>
        <w:ind w:right="-9" w:firstLine="720"/>
        <w:rPr>
          <w:sz w:val="22"/>
          <w:szCs w:val="22"/>
        </w:rPr>
      </w:pPr>
      <w:r w:rsidRPr="008A2C62">
        <w:rPr>
          <w:sz w:val="22"/>
          <w:szCs w:val="22"/>
        </w:rPr>
        <w:t xml:space="preserve">Much excellent study and theorizing </w:t>
      </w:r>
      <w:proofErr w:type="gramStart"/>
      <w:r w:rsidRPr="008A2C62">
        <w:rPr>
          <w:sz w:val="22"/>
          <w:szCs w:val="22"/>
        </w:rPr>
        <w:t>has</w:t>
      </w:r>
      <w:proofErr w:type="gramEnd"/>
      <w:r w:rsidRPr="008A2C62">
        <w:rPr>
          <w:sz w:val="22"/>
          <w:szCs w:val="22"/>
        </w:rPr>
        <w:t xml:space="preserve"> been done toward practical redesigning of theological education.  Among recent scholarship, </w:t>
      </w:r>
      <w:r w:rsidR="008E1217">
        <w:rPr>
          <w:sz w:val="22"/>
          <w:szCs w:val="22"/>
        </w:rPr>
        <w:t xml:space="preserve">the work of Andrew Kirk and </w:t>
      </w:r>
      <w:proofErr w:type="spellStart"/>
      <w:r w:rsidR="008E1217">
        <w:rPr>
          <w:sz w:val="22"/>
          <w:szCs w:val="22"/>
        </w:rPr>
        <w:t>Eini</w:t>
      </w:r>
      <w:r w:rsidRPr="008A2C62">
        <w:rPr>
          <w:sz w:val="22"/>
          <w:szCs w:val="22"/>
        </w:rPr>
        <w:t>ke</w:t>
      </w:r>
      <w:proofErr w:type="spellEnd"/>
      <w:r w:rsidRPr="008A2C62">
        <w:rPr>
          <w:sz w:val="22"/>
          <w:szCs w:val="22"/>
        </w:rPr>
        <w:t xml:space="preserve"> Pilli deserves close consideration.  A </w:t>
      </w:r>
      <w:r w:rsidR="009975A0" w:rsidRPr="008A2C62">
        <w:rPr>
          <w:sz w:val="22"/>
          <w:szCs w:val="22"/>
        </w:rPr>
        <w:t>seminal hint from Graham Cheesman</w:t>
      </w:r>
      <w:r w:rsidRPr="008A2C62">
        <w:rPr>
          <w:sz w:val="22"/>
          <w:szCs w:val="22"/>
        </w:rPr>
        <w:t xml:space="preserve"> leads to an intriguing suggestion of another path this ‘conversion’ or ‘transformation’ could pursue</w:t>
      </w:r>
      <w:r w:rsidR="009975A0" w:rsidRPr="008A2C62">
        <w:rPr>
          <w:sz w:val="22"/>
          <w:szCs w:val="22"/>
        </w:rPr>
        <w:t>: ‘It used to be the monasteries that were the key hosts for theological education, and they are more appropriate than secular universities.’</w:t>
      </w:r>
      <w:r w:rsidR="009975A0" w:rsidRPr="008A2C62">
        <w:rPr>
          <w:rStyle w:val="FootnoteReference"/>
          <w:sz w:val="22"/>
          <w:szCs w:val="22"/>
        </w:rPr>
        <w:footnoteReference w:id="64"/>
      </w:r>
    </w:p>
    <w:p w:rsidR="00CE1338" w:rsidRPr="008A2C62" w:rsidRDefault="008E1217" w:rsidP="00B32ABD">
      <w:pPr>
        <w:spacing w:line="480" w:lineRule="auto"/>
        <w:ind w:right="-9" w:firstLine="720"/>
        <w:rPr>
          <w:sz w:val="22"/>
          <w:szCs w:val="22"/>
        </w:rPr>
      </w:pPr>
      <w:r>
        <w:rPr>
          <w:sz w:val="22"/>
          <w:szCs w:val="22"/>
        </w:rPr>
        <w:lastRenderedPageBreak/>
        <w:t>T</w:t>
      </w:r>
      <w:r w:rsidR="00AE5FC7" w:rsidRPr="008A2C62">
        <w:rPr>
          <w:sz w:val="22"/>
          <w:szCs w:val="22"/>
        </w:rPr>
        <w:t xml:space="preserve">heological education, particularly </w:t>
      </w:r>
      <w:r>
        <w:rPr>
          <w:sz w:val="22"/>
          <w:szCs w:val="22"/>
        </w:rPr>
        <w:t>in</w:t>
      </w:r>
      <w:r w:rsidR="00AE5FC7" w:rsidRPr="008A2C62">
        <w:rPr>
          <w:sz w:val="22"/>
          <w:szCs w:val="22"/>
        </w:rPr>
        <w:t xml:space="preserve"> the Starbucks generation, would do well to consider a return to the monas</w:t>
      </w:r>
      <w:r>
        <w:rPr>
          <w:sz w:val="22"/>
          <w:szCs w:val="22"/>
        </w:rPr>
        <w:t xml:space="preserve">teries, encompassed in a </w:t>
      </w:r>
      <w:r w:rsidRPr="008A2C62">
        <w:rPr>
          <w:sz w:val="22"/>
          <w:szCs w:val="22"/>
        </w:rPr>
        <w:t>co</w:t>
      </w:r>
      <w:r>
        <w:rPr>
          <w:sz w:val="22"/>
          <w:szCs w:val="22"/>
        </w:rPr>
        <w:t>mmunities like t</w:t>
      </w:r>
      <w:r w:rsidRPr="008A2C62">
        <w:rPr>
          <w:sz w:val="22"/>
          <w:szCs w:val="22"/>
        </w:rPr>
        <w:t>he Brothers and Sisters of Charity.</w:t>
      </w:r>
      <w:r w:rsidRPr="008A2C62">
        <w:rPr>
          <w:rStyle w:val="FootnoteReference"/>
          <w:sz w:val="22"/>
          <w:szCs w:val="22"/>
        </w:rPr>
        <w:footnoteReference w:id="65"/>
      </w:r>
      <w:r>
        <w:rPr>
          <w:sz w:val="22"/>
          <w:szCs w:val="22"/>
        </w:rPr>
        <w:t xml:space="preserve">  </w:t>
      </w:r>
      <w:r w:rsidR="00AE5FC7" w:rsidRPr="008A2C62">
        <w:rPr>
          <w:sz w:val="22"/>
          <w:szCs w:val="22"/>
        </w:rPr>
        <w:t xml:space="preserve">For those church traditions which still practice monasticism, this could be achieved literally.  Alternatively, a new monastic identity could emerge for this era.  </w:t>
      </w:r>
    </w:p>
    <w:p w:rsidR="00CE1338" w:rsidRPr="008A2C62" w:rsidRDefault="00AE5FC7" w:rsidP="008E1217">
      <w:pPr>
        <w:spacing w:line="480" w:lineRule="auto"/>
        <w:ind w:right="-9" w:firstLine="720"/>
        <w:rPr>
          <w:sz w:val="22"/>
          <w:szCs w:val="22"/>
        </w:rPr>
      </w:pPr>
      <w:r w:rsidRPr="008A2C62">
        <w:rPr>
          <w:sz w:val="22"/>
          <w:szCs w:val="22"/>
        </w:rPr>
        <w:t xml:space="preserve">The strength of this approach lies in the comprehensiveness of monastic life.  Academic rigor, mystic worship, prolonged prayer and reading of Scripture, blend together with cultivation of the arts, care for nature, and service to people.  </w:t>
      </w:r>
      <w:r w:rsidR="008E1217">
        <w:rPr>
          <w:sz w:val="22"/>
          <w:szCs w:val="22"/>
        </w:rPr>
        <w:t xml:space="preserve">One is not more important than the other; each is a facet of the whole.  </w:t>
      </w:r>
      <w:r w:rsidR="00CE1338" w:rsidRPr="008A2C62">
        <w:rPr>
          <w:sz w:val="22"/>
          <w:szCs w:val="22"/>
        </w:rPr>
        <w:t>Thus the lie that theology can be done in sheer academic terms shatters; students and teachers alike would find opportunity within the school not only to critically interact with scholars of the past, but to learn a trade or work the soil.  It should not be inconceivable for a student to finish four years of theological education with a degree in forestry.</w:t>
      </w:r>
    </w:p>
    <w:p w:rsidR="00AE07C5" w:rsidRPr="008A2C62" w:rsidRDefault="00EC3A18" w:rsidP="00AE07C5">
      <w:pPr>
        <w:spacing w:line="480" w:lineRule="auto"/>
        <w:ind w:right="-9" w:firstLine="720"/>
        <w:rPr>
          <w:sz w:val="22"/>
          <w:szCs w:val="22"/>
        </w:rPr>
      </w:pPr>
      <w:r w:rsidRPr="008A2C62">
        <w:rPr>
          <w:sz w:val="22"/>
          <w:szCs w:val="22"/>
        </w:rPr>
        <w:t>T</w:t>
      </w:r>
      <w:r w:rsidR="00CE1338" w:rsidRPr="008A2C62">
        <w:rPr>
          <w:sz w:val="22"/>
          <w:szCs w:val="22"/>
        </w:rPr>
        <w:t>his sort of theological education would not be restricted to profes</w:t>
      </w:r>
      <w:r w:rsidRPr="008A2C62">
        <w:rPr>
          <w:sz w:val="22"/>
          <w:szCs w:val="22"/>
        </w:rPr>
        <w:t>sional ministerial training,</w:t>
      </w:r>
      <w:r w:rsidR="00CE1338" w:rsidRPr="008A2C62">
        <w:rPr>
          <w:sz w:val="22"/>
          <w:szCs w:val="22"/>
        </w:rPr>
        <w:t xml:space="preserve"> </w:t>
      </w:r>
      <w:r w:rsidRPr="008A2C62">
        <w:rPr>
          <w:sz w:val="22"/>
          <w:szCs w:val="22"/>
        </w:rPr>
        <w:t>but would be open to anyone who wanted</w:t>
      </w:r>
      <w:r w:rsidR="00CE1338" w:rsidRPr="008A2C62">
        <w:rPr>
          <w:sz w:val="22"/>
          <w:szCs w:val="22"/>
        </w:rPr>
        <w:t xml:space="preserve"> </w:t>
      </w:r>
      <w:r w:rsidRPr="008A2C62">
        <w:rPr>
          <w:sz w:val="22"/>
          <w:szCs w:val="22"/>
        </w:rPr>
        <w:t>‘deep communion and friendship’</w:t>
      </w:r>
      <w:r w:rsidRPr="008A2C62">
        <w:rPr>
          <w:rStyle w:val="FootnoteReference"/>
          <w:sz w:val="22"/>
          <w:szCs w:val="22"/>
        </w:rPr>
        <w:footnoteReference w:id="66"/>
      </w:r>
      <w:r w:rsidRPr="008A2C62">
        <w:rPr>
          <w:sz w:val="22"/>
          <w:szCs w:val="22"/>
        </w:rPr>
        <w:t xml:space="preserve"> with </w:t>
      </w:r>
      <w:proofErr w:type="spellStart"/>
      <w:r w:rsidRPr="008A2C62">
        <w:rPr>
          <w:sz w:val="22"/>
          <w:szCs w:val="22"/>
        </w:rPr>
        <w:t>Yeshua</w:t>
      </w:r>
      <w:proofErr w:type="spellEnd"/>
      <w:r w:rsidRPr="008A2C62">
        <w:rPr>
          <w:sz w:val="22"/>
          <w:szCs w:val="22"/>
        </w:rPr>
        <w:t xml:space="preserve">.  </w:t>
      </w:r>
      <w:r w:rsidR="00AE07C5" w:rsidRPr="008A2C62">
        <w:rPr>
          <w:sz w:val="22"/>
          <w:szCs w:val="22"/>
        </w:rPr>
        <w:t>Banks insists that ‘theological education is not a higher stage of Christian education, but a dimension of everyone’s Christian education, depending on their stage in life and calling.’</w:t>
      </w:r>
      <w:r w:rsidR="00AE07C5" w:rsidRPr="008A2C62">
        <w:rPr>
          <w:rStyle w:val="FootnoteReference"/>
          <w:sz w:val="22"/>
          <w:szCs w:val="22"/>
        </w:rPr>
        <w:footnoteReference w:id="67"/>
      </w:r>
      <w:r w:rsidR="00AE07C5" w:rsidRPr="008A2C62">
        <w:rPr>
          <w:sz w:val="22"/>
          <w:szCs w:val="22"/>
        </w:rPr>
        <w:t xml:space="preserve">  </w:t>
      </w:r>
      <w:r w:rsidRPr="008A2C62">
        <w:rPr>
          <w:sz w:val="22"/>
          <w:szCs w:val="22"/>
        </w:rPr>
        <w:t>Ideally, the school would become</w:t>
      </w:r>
      <w:r w:rsidR="00CE1338" w:rsidRPr="008A2C62">
        <w:rPr>
          <w:sz w:val="22"/>
          <w:szCs w:val="22"/>
        </w:rPr>
        <w:t xml:space="preserve"> </w:t>
      </w:r>
      <w:r w:rsidRPr="008A2C62">
        <w:rPr>
          <w:sz w:val="22"/>
          <w:szCs w:val="22"/>
        </w:rPr>
        <w:t xml:space="preserve">a </w:t>
      </w:r>
      <w:r w:rsidR="00CE1338" w:rsidRPr="008A2C62">
        <w:rPr>
          <w:sz w:val="22"/>
          <w:szCs w:val="22"/>
        </w:rPr>
        <w:t xml:space="preserve">fluid, </w:t>
      </w:r>
      <w:r w:rsidR="00AE07C5" w:rsidRPr="008A2C62">
        <w:rPr>
          <w:sz w:val="22"/>
          <w:szCs w:val="22"/>
        </w:rPr>
        <w:t xml:space="preserve">pluralistic, </w:t>
      </w:r>
      <w:r w:rsidR="00CE1338" w:rsidRPr="008A2C62">
        <w:rPr>
          <w:sz w:val="22"/>
          <w:szCs w:val="22"/>
        </w:rPr>
        <w:t xml:space="preserve">ecumenical </w:t>
      </w:r>
      <w:r w:rsidRPr="008A2C62">
        <w:rPr>
          <w:sz w:val="22"/>
          <w:szCs w:val="22"/>
        </w:rPr>
        <w:t>camaraderie</w:t>
      </w:r>
      <w:r w:rsidR="00CE1338" w:rsidRPr="008A2C62">
        <w:rPr>
          <w:sz w:val="22"/>
          <w:szCs w:val="22"/>
        </w:rPr>
        <w:t xml:space="preserve">, </w:t>
      </w:r>
      <w:r w:rsidR="00AE07C5" w:rsidRPr="008A2C62">
        <w:rPr>
          <w:sz w:val="22"/>
          <w:szCs w:val="22"/>
        </w:rPr>
        <w:t>embracing</w:t>
      </w:r>
      <w:r w:rsidR="00CE1338" w:rsidRPr="008A2C62">
        <w:rPr>
          <w:sz w:val="22"/>
          <w:szCs w:val="22"/>
        </w:rPr>
        <w:t xml:space="preserve"> everyone from permanent residents</w:t>
      </w:r>
      <w:r w:rsidR="00AE07C5" w:rsidRPr="008A2C62">
        <w:rPr>
          <w:sz w:val="22"/>
          <w:szCs w:val="22"/>
        </w:rPr>
        <w:t xml:space="preserve"> to temporary visitors.</w:t>
      </w:r>
    </w:p>
    <w:p w:rsidR="00B01C4F" w:rsidRPr="008A2C62" w:rsidRDefault="000E6E71" w:rsidP="008E1217">
      <w:pPr>
        <w:spacing w:line="480" w:lineRule="auto"/>
        <w:ind w:right="-9" w:firstLine="720"/>
        <w:rPr>
          <w:sz w:val="22"/>
          <w:szCs w:val="22"/>
        </w:rPr>
      </w:pPr>
      <w:r w:rsidRPr="008A2C62">
        <w:rPr>
          <w:sz w:val="22"/>
          <w:szCs w:val="22"/>
        </w:rPr>
        <w:t xml:space="preserve">The suggestions above are merely speculations, not prescriptions.  At the heart of theological education as ‘liturgy before liturgy’ rests the spontaneity of </w:t>
      </w:r>
      <w:proofErr w:type="gramStart"/>
      <w:r w:rsidRPr="008A2C62">
        <w:rPr>
          <w:sz w:val="22"/>
          <w:szCs w:val="22"/>
        </w:rPr>
        <w:t>worship,</w:t>
      </w:r>
      <w:proofErr w:type="gramEnd"/>
      <w:r w:rsidRPr="008A2C62">
        <w:rPr>
          <w:sz w:val="22"/>
          <w:szCs w:val="22"/>
        </w:rPr>
        <w:t xml:space="preserve"> and that cannot be prescribed.  .  Theological education, in all its forms, must remain a vibrant, beating </w:t>
      </w:r>
      <w:proofErr w:type="gramStart"/>
      <w:r w:rsidRPr="008A2C62">
        <w:rPr>
          <w:sz w:val="22"/>
          <w:szCs w:val="22"/>
        </w:rPr>
        <w:t>thing, that</w:t>
      </w:r>
      <w:proofErr w:type="gramEnd"/>
      <w:r w:rsidRPr="008A2C62">
        <w:rPr>
          <w:sz w:val="22"/>
          <w:szCs w:val="22"/>
        </w:rPr>
        <w:t xml:space="preserve"> dynamically allows students and teachers to journey with the resurrected Messiah.  Each generation, each culture, and even each Christian, should re-transform theological education; </w:t>
      </w:r>
      <w:r w:rsidR="008E1217">
        <w:rPr>
          <w:sz w:val="22"/>
          <w:szCs w:val="22"/>
        </w:rPr>
        <w:t>a</w:t>
      </w:r>
      <w:r w:rsidR="005D5CA0" w:rsidRPr="008A2C62">
        <w:rPr>
          <w:sz w:val="22"/>
          <w:szCs w:val="22"/>
        </w:rPr>
        <w:t xml:space="preserve"> healthy pluralism in method and approach is needed for theological education to be effective.  Theological education, to be worthy of the name, must be as wide as the world.</w:t>
      </w:r>
    </w:p>
    <w:p w:rsidR="00730D41" w:rsidRPr="008A2C62" w:rsidRDefault="005C18F1" w:rsidP="000E6E71">
      <w:pPr>
        <w:spacing w:line="480" w:lineRule="auto"/>
        <w:ind w:right="-9" w:firstLine="720"/>
        <w:rPr>
          <w:sz w:val="22"/>
          <w:szCs w:val="22"/>
        </w:rPr>
      </w:pPr>
      <w:r w:rsidRPr="008A2C62">
        <w:rPr>
          <w:sz w:val="22"/>
          <w:szCs w:val="22"/>
        </w:rPr>
        <w:lastRenderedPageBreak/>
        <w:t>For theological education is a jour</w:t>
      </w:r>
      <w:r w:rsidR="008E1217">
        <w:rPr>
          <w:sz w:val="22"/>
          <w:szCs w:val="22"/>
        </w:rPr>
        <w:t>ney.  I</w:t>
      </w:r>
      <w:r w:rsidRPr="008A2C62">
        <w:rPr>
          <w:sz w:val="22"/>
          <w:szCs w:val="22"/>
        </w:rPr>
        <w:t xml:space="preserve">t is </w:t>
      </w:r>
      <w:proofErr w:type="spellStart"/>
      <w:r w:rsidRPr="008A2C62">
        <w:rPr>
          <w:sz w:val="22"/>
          <w:szCs w:val="22"/>
        </w:rPr>
        <w:t>Yeshua</w:t>
      </w:r>
      <w:proofErr w:type="spellEnd"/>
      <w:r w:rsidRPr="008A2C62">
        <w:rPr>
          <w:sz w:val="22"/>
          <w:szCs w:val="22"/>
        </w:rPr>
        <w:t xml:space="preserve"> walking with all those who love him, all those who try to understand.  </w:t>
      </w:r>
      <w:proofErr w:type="spellStart"/>
      <w:r w:rsidRPr="008A2C62">
        <w:rPr>
          <w:sz w:val="22"/>
          <w:szCs w:val="22"/>
          <w:lang w:val="en-US"/>
        </w:rPr>
        <w:t>Yeshua</w:t>
      </w:r>
      <w:proofErr w:type="spellEnd"/>
      <w:r w:rsidRPr="008A2C62">
        <w:rPr>
          <w:sz w:val="22"/>
          <w:szCs w:val="22"/>
          <w:lang w:val="en-US"/>
        </w:rPr>
        <w:t xml:space="preserve"> ‘took the bread, blessed it and broke it, gave it to them…then their eyes were opened, and they knew him.’</w:t>
      </w:r>
      <w:r w:rsidRPr="008A2C62">
        <w:rPr>
          <w:rStyle w:val="FootnoteReference"/>
          <w:sz w:val="22"/>
          <w:szCs w:val="22"/>
          <w:lang w:val="en-US"/>
        </w:rPr>
        <w:t xml:space="preserve"> </w:t>
      </w:r>
      <w:r w:rsidRPr="008A2C62">
        <w:rPr>
          <w:rStyle w:val="FootnoteReference"/>
          <w:sz w:val="22"/>
          <w:szCs w:val="22"/>
          <w:lang w:val="en-US"/>
        </w:rPr>
        <w:footnoteReference w:id="68"/>
      </w:r>
      <w:r w:rsidRPr="008A2C62">
        <w:rPr>
          <w:sz w:val="22"/>
          <w:szCs w:val="22"/>
          <w:lang w:val="en-US"/>
        </w:rPr>
        <w:t xml:space="preserve">  It is a journey to the place of seeing where the Teacher and Lord </w:t>
      </w:r>
      <w:proofErr w:type="gramStart"/>
      <w:r w:rsidRPr="008A2C62">
        <w:rPr>
          <w:sz w:val="22"/>
          <w:szCs w:val="22"/>
          <w:lang w:val="en-US"/>
        </w:rPr>
        <w:t>reveals</w:t>
      </w:r>
      <w:proofErr w:type="gramEnd"/>
      <w:r w:rsidRPr="008A2C62">
        <w:rPr>
          <w:sz w:val="22"/>
          <w:szCs w:val="22"/>
          <w:lang w:val="en-US"/>
        </w:rPr>
        <w:t xml:space="preserve"> himself, at once broken and alive.  </w:t>
      </w:r>
      <w:r w:rsidR="00470DA7" w:rsidRPr="008A2C62">
        <w:rPr>
          <w:sz w:val="22"/>
          <w:szCs w:val="22"/>
          <w:lang w:val="en-US"/>
        </w:rPr>
        <w:t xml:space="preserve">All </w:t>
      </w:r>
      <w:r w:rsidR="008E1217">
        <w:rPr>
          <w:sz w:val="22"/>
          <w:szCs w:val="22"/>
          <w:lang w:val="en-US"/>
        </w:rPr>
        <w:t>its</w:t>
      </w:r>
      <w:r w:rsidR="00470DA7" w:rsidRPr="008A2C62">
        <w:rPr>
          <w:sz w:val="22"/>
          <w:szCs w:val="22"/>
          <w:lang w:val="en-US"/>
        </w:rPr>
        <w:t xml:space="preserve"> finest efforts are but notes between students in the school of Messiah.  </w:t>
      </w:r>
      <w:r w:rsidR="005D5CA0" w:rsidRPr="008A2C62">
        <w:rPr>
          <w:sz w:val="22"/>
          <w:szCs w:val="22"/>
          <w:lang w:val="en-US"/>
        </w:rPr>
        <w:t xml:space="preserve">Theological education continues as it began; </w:t>
      </w:r>
      <w:proofErr w:type="spellStart"/>
      <w:r w:rsidR="005D5CA0" w:rsidRPr="008A2C62">
        <w:rPr>
          <w:sz w:val="22"/>
          <w:szCs w:val="22"/>
          <w:lang w:val="en-US"/>
        </w:rPr>
        <w:t>Yeshua</w:t>
      </w:r>
      <w:proofErr w:type="spellEnd"/>
      <w:r w:rsidR="005D5CA0" w:rsidRPr="008A2C62">
        <w:rPr>
          <w:sz w:val="22"/>
          <w:szCs w:val="22"/>
          <w:lang w:val="en-US"/>
        </w:rPr>
        <w:t xml:space="preserve"> still teaches those who travel with him.</w:t>
      </w:r>
    </w:p>
    <w:p w:rsidR="00EF4128" w:rsidRDefault="00EF4128">
      <w:pPr>
        <w:rPr>
          <w:sz w:val="22"/>
          <w:szCs w:val="22"/>
        </w:rPr>
      </w:pPr>
      <w:r>
        <w:rPr>
          <w:sz w:val="22"/>
          <w:szCs w:val="22"/>
        </w:rPr>
        <w:br w:type="page"/>
      </w:r>
    </w:p>
    <w:p w:rsidR="00EF4128" w:rsidRPr="00EF4128" w:rsidRDefault="00EF4128" w:rsidP="00EF4128">
      <w:pPr>
        <w:pStyle w:val="Bibliography"/>
        <w:spacing w:after="240" w:line="276" w:lineRule="auto"/>
        <w:ind w:left="720" w:hanging="720"/>
        <w:rPr>
          <w:b/>
          <w:smallCaps/>
          <w:sz w:val="22"/>
          <w:szCs w:val="22"/>
        </w:rPr>
      </w:pPr>
      <w:r>
        <w:rPr>
          <w:b/>
          <w:smallCaps/>
          <w:sz w:val="22"/>
          <w:szCs w:val="22"/>
        </w:rPr>
        <w:lastRenderedPageBreak/>
        <w:t>Works Cited</w:t>
      </w:r>
    </w:p>
    <w:p w:rsidR="00EF4128" w:rsidRDefault="00EF4128" w:rsidP="00EF4128">
      <w:pPr>
        <w:pStyle w:val="Bibliography"/>
        <w:spacing w:after="240" w:line="276" w:lineRule="auto"/>
        <w:ind w:left="720" w:hanging="720"/>
        <w:rPr>
          <w:noProof/>
        </w:rPr>
      </w:pPr>
      <w:r>
        <w:rPr>
          <w:sz w:val="22"/>
          <w:szCs w:val="22"/>
        </w:rPr>
        <w:fldChar w:fldCharType="begin"/>
      </w:r>
      <w:r>
        <w:rPr>
          <w:sz w:val="22"/>
          <w:szCs w:val="22"/>
          <w:lang w:val="en-US"/>
        </w:rPr>
        <w:instrText xml:space="preserve"> BIBLIOGRAPHY  \l 1033 </w:instrText>
      </w:r>
      <w:r>
        <w:rPr>
          <w:sz w:val="22"/>
          <w:szCs w:val="22"/>
        </w:rPr>
        <w:fldChar w:fldCharType="separate"/>
      </w:r>
      <w:r>
        <w:rPr>
          <w:noProof/>
        </w:rPr>
        <w:t xml:space="preserve">Banks, Robert. </w:t>
      </w:r>
      <w:r>
        <w:rPr>
          <w:i/>
          <w:iCs/>
          <w:noProof/>
        </w:rPr>
        <w:t>Reenvisioning Theological Education: Exploring a Missional Alternative to Current Models.</w:t>
      </w:r>
      <w:r>
        <w:rPr>
          <w:noProof/>
        </w:rPr>
        <w:t xml:space="preserve"> Grand Rapids: Eerdmans, 1999.</w:t>
      </w:r>
    </w:p>
    <w:p w:rsidR="00EF4128" w:rsidRDefault="00EF4128" w:rsidP="00EF4128">
      <w:pPr>
        <w:pStyle w:val="Bibliography"/>
        <w:spacing w:after="240" w:line="276" w:lineRule="auto"/>
        <w:ind w:left="720" w:hanging="720"/>
        <w:rPr>
          <w:noProof/>
        </w:rPr>
      </w:pPr>
      <w:r>
        <w:rPr>
          <w:noProof/>
        </w:rPr>
        <w:t>Cheesman, Graham. "A Conversation with Henri Nouwen about Theological Education." Unpublished Article, 2005.</w:t>
      </w:r>
    </w:p>
    <w:p w:rsidR="00EF4128" w:rsidRDefault="00EF4128" w:rsidP="00EF4128">
      <w:pPr>
        <w:pStyle w:val="Bibliography"/>
        <w:spacing w:after="240" w:line="276" w:lineRule="auto"/>
        <w:ind w:left="720" w:hanging="720"/>
        <w:rPr>
          <w:noProof/>
        </w:rPr>
      </w:pPr>
      <w:r>
        <w:rPr>
          <w:noProof/>
        </w:rPr>
        <w:t>—. "Spiritual Formation as a goal of Theological Education." www.theologicaleducation.org/resources.</w:t>
      </w:r>
    </w:p>
    <w:p w:rsidR="00EF4128" w:rsidRDefault="00EF4128" w:rsidP="00EF4128">
      <w:pPr>
        <w:pStyle w:val="Bibliography"/>
        <w:spacing w:after="240" w:line="276" w:lineRule="auto"/>
        <w:ind w:left="720" w:hanging="720"/>
        <w:rPr>
          <w:noProof/>
        </w:rPr>
      </w:pPr>
      <w:r>
        <w:rPr>
          <w:noProof/>
        </w:rPr>
        <w:t xml:space="preserve">Collinson, Sylvia Wilkey. </w:t>
      </w:r>
      <w:r>
        <w:rPr>
          <w:i/>
          <w:iCs/>
          <w:noProof/>
        </w:rPr>
        <w:t>Making Disciples: The Significance of Jesus' Educational Methods for Today's Church.</w:t>
      </w:r>
      <w:r>
        <w:rPr>
          <w:noProof/>
        </w:rPr>
        <w:t xml:space="preserve"> Milton Keynes, UK: Paternoster, 2004.</w:t>
      </w:r>
    </w:p>
    <w:p w:rsidR="00EF4128" w:rsidRDefault="00EF4128" w:rsidP="00EF4128">
      <w:pPr>
        <w:pStyle w:val="Bibliography"/>
        <w:spacing w:after="240" w:line="276" w:lineRule="auto"/>
        <w:ind w:left="720" w:hanging="720"/>
        <w:rPr>
          <w:noProof/>
        </w:rPr>
      </w:pPr>
      <w:r>
        <w:rPr>
          <w:noProof/>
        </w:rPr>
        <w:t xml:space="preserve">Edwards Jr., Tilden H. "Spiritual Formation in Theological Schools: Ferment and Challenge." </w:t>
      </w:r>
      <w:r>
        <w:rPr>
          <w:i/>
          <w:iCs/>
          <w:noProof/>
        </w:rPr>
        <w:t>Theological Education</w:t>
      </w:r>
      <w:r>
        <w:rPr>
          <w:noProof/>
        </w:rPr>
        <w:t>, 1980: 7-52.</w:t>
      </w:r>
    </w:p>
    <w:p w:rsidR="00EF4128" w:rsidRDefault="00EF4128" w:rsidP="00EF4128">
      <w:pPr>
        <w:pStyle w:val="Bibliography"/>
        <w:spacing w:after="240" w:line="276" w:lineRule="auto"/>
        <w:ind w:left="720" w:hanging="720"/>
        <w:rPr>
          <w:noProof/>
        </w:rPr>
      </w:pPr>
      <w:r>
        <w:rPr>
          <w:noProof/>
        </w:rPr>
        <w:t xml:space="preserve">Feodorov, Vladimir. "Orthodox View on Theological Education as Mission." In </w:t>
      </w:r>
      <w:r>
        <w:rPr>
          <w:i/>
          <w:iCs/>
          <w:noProof/>
        </w:rPr>
        <w:t>Theological Education as Mission</w:t>
      </w:r>
      <w:r>
        <w:rPr>
          <w:noProof/>
        </w:rPr>
        <w:t>, by Peter E. Penner, 69-101. Scharzenfeld, Germany: Neyfeld Verlag, 2005.</w:t>
      </w:r>
    </w:p>
    <w:p w:rsidR="00EF4128" w:rsidRDefault="00EF4128" w:rsidP="00EF4128">
      <w:pPr>
        <w:pStyle w:val="Bibliography"/>
        <w:spacing w:after="240" w:line="276" w:lineRule="auto"/>
        <w:ind w:left="720" w:hanging="720"/>
        <w:rPr>
          <w:noProof/>
        </w:rPr>
      </w:pPr>
      <w:r>
        <w:rPr>
          <w:noProof/>
        </w:rPr>
        <w:t xml:space="preserve">Kelsey, David. </w:t>
      </w:r>
      <w:r>
        <w:rPr>
          <w:i/>
          <w:iCs/>
          <w:noProof/>
        </w:rPr>
        <w:t>Between Athens and Berlin.</w:t>
      </w:r>
      <w:r>
        <w:rPr>
          <w:noProof/>
        </w:rPr>
        <w:t xml:space="preserve"> Grand Rapids: Eerdmans, 1993.</w:t>
      </w:r>
    </w:p>
    <w:p w:rsidR="00EF4128" w:rsidRDefault="00EF4128" w:rsidP="00EF4128">
      <w:pPr>
        <w:pStyle w:val="Bibliography"/>
        <w:spacing w:after="240" w:line="276" w:lineRule="auto"/>
        <w:ind w:left="720" w:hanging="720"/>
        <w:rPr>
          <w:noProof/>
        </w:rPr>
      </w:pPr>
      <w:r>
        <w:rPr>
          <w:noProof/>
        </w:rPr>
        <w:t xml:space="preserve">Kirk, Andrew. "Re-envisioning the Theological Curriculum as if the Missio Dei mattered." In </w:t>
      </w:r>
      <w:r>
        <w:rPr>
          <w:i/>
          <w:iCs/>
          <w:noProof/>
        </w:rPr>
        <w:t>Theological Education as Mission</w:t>
      </w:r>
      <w:r>
        <w:rPr>
          <w:noProof/>
        </w:rPr>
        <w:t>, by Peter F. Penner, 22-37. Scharzenfeld,Germany: Neufeld Verlag, 2005.</w:t>
      </w:r>
    </w:p>
    <w:p w:rsidR="00EF4128" w:rsidRDefault="00EF4128" w:rsidP="00EF4128">
      <w:pPr>
        <w:pStyle w:val="Bibliography"/>
        <w:spacing w:after="240" w:line="276" w:lineRule="auto"/>
        <w:ind w:left="720" w:hanging="720"/>
        <w:rPr>
          <w:noProof/>
        </w:rPr>
      </w:pPr>
      <w:r>
        <w:rPr>
          <w:noProof/>
        </w:rPr>
        <w:t xml:space="preserve">Nouwen, Henri J. M. </w:t>
      </w:r>
      <w:r>
        <w:rPr>
          <w:i/>
          <w:iCs/>
          <w:noProof/>
        </w:rPr>
        <w:t>Reaching Out: The Three Movements of the Spiritual Life.</w:t>
      </w:r>
      <w:r>
        <w:rPr>
          <w:noProof/>
        </w:rPr>
        <w:t xml:space="preserve"> Glasgow: William Collins Sons &amp; Co Ltd, 1976.</w:t>
      </w:r>
    </w:p>
    <w:p w:rsidR="00EF4128" w:rsidRDefault="00EF4128" w:rsidP="00EF4128">
      <w:pPr>
        <w:pStyle w:val="Bibliography"/>
        <w:spacing w:after="240" w:line="276" w:lineRule="auto"/>
        <w:ind w:left="720" w:hanging="720"/>
        <w:rPr>
          <w:noProof/>
        </w:rPr>
      </w:pPr>
      <w:r>
        <w:rPr>
          <w:noProof/>
        </w:rPr>
        <w:t xml:space="preserve">Palmer, Parker. </w:t>
      </w:r>
      <w:r>
        <w:rPr>
          <w:i/>
          <w:iCs/>
          <w:noProof/>
        </w:rPr>
        <w:t>To Know as we are Known.</w:t>
      </w:r>
      <w:r>
        <w:rPr>
          <w:noProof/>
        </w:rPr>
        <w:t xml:space="preserve"> New York: Harper Collins, 1993.</w:t>
      </w:r>
    </w:p>
    <w:p w:rsidR="00EF4128" w:rsidRDefault="00EF4128" w:rsidP="00EF4128">
      <w:pPr>
        <w:pStyle w:val="Bibliography"/>
        <w:spacing w:after="240" w:line="276" w:lineRule="auto"/>
        <w:ind w:left="720" w:hanging="720"/>
        <w:rPr>
          <w:noProof/>
        </w:rPr>
      </w:pPr>
      <w:r>
        <w:rPr>
          <w:i/>
          <w:iCs/>
          <w:noProof/>
        </w:rPr>
        <w:t>Pastores Dabo Vobis: Post-Synodal Apostolic Exhortation of His Holiness John Paul II on the Formation of Priests in the Circumstances of the Present Day.</w:t>
      </w:r>
      <w:r>
        <w:rPr>
          <w:noProof/>
        </w:rPr>
        <w:t xml:space="preserve"> London: Catholic Truth Society, 1992.</w:t>
      </w:r>
    </w:p>
    <w:p w:rsidR="00EF4128" w:rsidRDefault="00EF4128" w:rsidP="00EF4128">
      <w:pPr>
        <w:pStyle w:val="Bibliography"/>
        <w:spacing w:after="240" w:line="276" w:lineRule="auto"/>
        <w:ind w:left="720" w:hanging="720"/>
        <w:rPr>
          <w:noProof/>
        </w:rPr>
      </w:pPr>
      <w:r>
        <w:rPr>
          <w:noProof/>
        </w:rPr>
        <w:t xml:space="preserve">Pilli, Einike. "Toward a Holistic View of Theological Education: Response to Linda Cannell's paper 'Opportunities for 21st Century International Theological Education'." In </w:t>
      </w:r>
      <w:r>
        <w:rPr>
          <w:i/>
          <w:iCs/>
          <w:noProof/>
        </w:rPr>
        <w:t>Theological Education as Mission</w:t>
      </w:r>
      <w:r>
        <w:rPr>
          <w:noProof/>
        </w:rPr>
        <w:t>, by Peter F. Penner, 171-184. Scharzenfeld, Germany: Neufeld Verlag, 2005.</w:t>
      </w:r>
    </w:p>
    <w:p w:rsidR="00EF4128" w:rsidRDefault="00EF4128" w:rsidP="00EF4128">
      <w:pPr>
        <w:pStyle w:val="Bibliography"/>
        <w:spacing w:after="240" w:line="276" w:lineRule="auto"/>
        <w:ind w:left="720" w:hanging="720"/>
        <w:rPr>
          <w:noProof/>
        </w:rPr>
      </w:pPr>
      <w:r>
        <w:rPr>
          <w:noProof/>
        </w:rPr>
        <w:t xml:space="preserve">"Report of the Task Force on Spiritual Direction." </w:t>
      </w:r>
      <w:r>
        <w:rPr>
          <w:i/>
          <w:iCs/>
          <w:noProof/>
        </w:rPr>
        <w:t>Theological Education</w:t>
      </w:r>
      <w:r>
        <w:rPr>
          <w:noProof/>
        </w:rPr>
        <w:t>, Spring 1972: 153-197.</w:t>
      </w:r>
    </w:p>
    <w:p w:rsidR="00EF4128" w:rsidRDefault="00EF4128" w:rsidP="00EF4128">
      <w:pPr>
        <w:pStyle w:val="Bibliography"/>
        <w:spacing w:after="240" w:line="276" w:lineRule="auto"/>
        <w:ind w:left="720" w:hanging="720"/>
        <w:rPr>
          <w:noProof/>
        </w:rPr>
      </w:pPr>
      <w:r>
        <w:rPr>
          <w:noProof/>
        </w:rPr>
        <w:t xml:space="preserve">Schner, George P. "Formation as a unifying concept of theological education." </w:t>
      </w:r>
      <w:r>
        <w:rPr>
          <w:i/>
          <w:iCs/>
          <w:noProof/>
        </w:rPr>
        <w:t>Theological Education</w:t>
      </w:r>
      <w:r>
        <w:rPr>
          <w:noProof/>
        </w:rPr>
        <w:t>, Spring 1985: 94-113.</w:t>
      </w:r>
    </w:p>
    <w:p w:rsidR="00EF4128" w:rsidRDefault="00EF4128" w:rsidP="00EF4128">
      <w:pPr>
        <w:pStyle w:val="Bibliography"/>
        <w:spacing w:after="240" w:line="276" w:lineRule="auto"/>
        <w:ind w:left="720" w:hanging="720"/>
        <w:rPr>
          <w:noProof/>
        </w:rPr>
      </w:pPr>
      <w:r>
        <w:rPr>
          <w:noProof/>
        </w:rPr>
        <w:lastRenderedPageBreak/>
        <w:t xml:space="preserve">Smith, Gordon T. "Spiritual formation in the academy: a unifying model." </w:t>
      </w:r>
      <w:r>
        <w:rPr>
          <w:i/>
          <w:iCs/>
          <w:noProof/>
        </w:rPr>
        <w:t>Theological Education</w:t>
      </w:r>
      <w:r>
        <w:rPr>
          <w:noProof/>
        </w:rPr>
        <w:t xml:space="preserve"> 33, no. 1 (1996): 83-91.</w:t>
      </w:r>
    </w:p>
    <w:p w:rsidR="00EF4128" w:rsidRDefault="00EF4128" w:rsidP="00EF4128">
      <w:pPr>
        <w:pStyle w:val="Bibliography"/>
        <w:spacing w:after="240" w:line="276" w:lineRule="auto"/>
        <w:ind w:left="720" w:hanging="720"/>
        <w:rPr>
          <w:noProof/>
        </w:rPr>
      </w:pPr>
      <w:r>
        <w:rPr>
          <w:noProof/>
        </w:rPr>
        <w:t xml:space="preserve">The Brothers and Sisters of Charity. </w:t>
      </w:r>
      <w:r>
        <w:rPr>
          <w:i/>
          <w:iCs/>
          <w:noProof/>
        </w:rPr>
        <w:t>Monastic Life.</w:t>
      </w:r>
      <w:r>
        <w:rPr>
          <w:noProof/>
        </w:rPr>
        <w:t xml:space="preserve"> 2008. http://www.littleportion.org/Vocation/index.asp?id=52 (accessed October 24, 2008).</w:t>
      </w:r>
    </w:p>
    <w:p w:rsidR="00EF4128" w:rsidRDefault="00EF4128" w:rsidP="00EF4128">
      <w:pPr>
        <w:pStyle w:val="Bibliography"/>
        <w:spacing w:after="240" w:line="276" w:lineRule="auto"/>
        <w:ind w:left="720" w:hanging="720"/>
        <w:rPr>
          <w:noProof/>
        </w:rPr>
      </w:pPr>
      <w:r>
        <w:rPr>
          <w:noProof/>
        </w:rPr>
        <w:t xml:space="preserve">"The Iona Document on Spiritual Formation." In </w:t>
      </w:r>
      <w:r>
        <w:rPr>
          <w:i/>
          <w:iCs/>
          <w:noProof/>
        </w:rPr>
        <w:t>Invitation to the Feast of Life</w:t>
      </w:r>
      <w:r>
        <w:rPr>
          <w:noProof/>
        </w:rPr>
        <w:t>, edited by Samuel Amithram and Robin Pryor, 146-155. Geneva: WCC, n.d.</w:t>
      </w:r>
    </w:p>
    <w:p w:rsidR="00EF4128" w:rsidRDefault="00EF4128" w:rsidP="00EF4128">
      <w:pPr>
        <w:pStyle w:val="Bibliography"/>
        <w:spacing w:after="240" w:line="276" w:lineRule="auto"/>
        <w:ind w:left="720" w:hanging="720"/>
        <w:rPr>
          <w:noProof/>
        </w:rPr>
      </w:pPr>
      <w:r>
        <w:rPr>
          <w:noProof/>
        </w:rPr>
        <w:t xml:space="preserve">Work, Telform. "Education as Mission." </w:t>
      </w:r>
      <w:r>
        <w:rPr>
          <w:i/>
          <w:iCs/>
          <w:noProof/>
        </w:rPr>
        <w:t>Journal of Education and Christian Belief</w:t>
      </w:r>
      <w:r>
        <w:rPr>
          <w:noProof/>
        </w:rPr>
        <w:t>, Spring 2007.</w:t>
      </w:r>
    </w:p>
    <w:p w:rsidR="000E6E71" w:rsidRPr="008A2C62" w:rsidRDefault="00EF4128" w:rsidP="00EF4128">
      <w:pPr>
        <w:spacing w:after="240" w:line="276" w:lineRule="auto"/>
        <w:ind w:left="720" w:hanging="720"/>
        <w:rPr>
          <w:sz w:val="22"/>
          <w:szCs w:val="22"/>
        </w:rPr>
      </w:pPr>
      <w:r>
        <w:rPr>
          <w:sz w:val="22"/>
          <w:szCs w:val="22"/>
        </w:rPr>
        <w:fldChar w:fldCharType="end"/>
      </w:r>
    </w:p>
    <w:sectPr w:rsidR="000E6E71" w:rsidRPr="008A2C62" w:rsidSect="008E1217">
      <w:headerReference w:type="default" r:id="rId8"/>
      <w:pgSz w:w="11907" w:h="16840" w:code="9"/>
      <w:pgMar w:top="1440" w:right="1282" w:bottom="1440" w:left="127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5DC" w:rsidRDefault="005C05DC">
      <w:r>
        <w:separator/>
      </w:r>
    </w:p>
    <w:p w:rsidR="005C05DC" w:rsidRDefault="005C05DC"/>
  </w:endnote>
  <w:endnote w:type="continuationSeparator" w:id="0">
    <w:p w:rsidR="005C05DC" w:rsidRDefault="005C05DC">
      <w:r>
        <w:continuationSeparator/>
      </w:r>
    </w:p>
    <w:p w:rsidR="005C05DC" w:rsidRDefault="005C05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5DC" w:rsidRDefault="005C05DC">
      <w:r>
        <w:separator/>
      </w:r>
    </w:p>
    <w:p w:rsidR="005C05DC" w:rsidRDefault="005C05DC"/>
  </w:footnote>
  <w:footnote w:type="continuationSeparator" w:id="0">
    <w:p w:rsidR="005C05DC" w:rsidRDefault="005C05DC">
      <w:r>
        <w:continuationSeparator/>
      </w:r>
    </w:p>
    <w:p w:rsidR="005C05DC" w:rsidRDefault="005C05DC"/>
  </w:footnote>
  <w:footnote w:id="1">
    <w:p w:rsidR="004C420B" w:rsidRDefault="004C420B" w:rsidP="00F240B5">
      <w:pPr>
        <w:pStyle w:val="FootnoteText"/>
      </w:pPr>
      <w:r>
        <w:rPr>
          <w:rStyle w:val="FootnoteReference"/>
        </w:rPr>
        <w:footnoteRef/>
      </w:r>
      <w:r>
        <w:t xml:space="preserve"> Luke 24:27, my translation</w:t>
      </w:r>
    </w:p>
  </w:footnote>
  <w:footnote w:id="2">
    <w:p w:rsidR="004C420B" w:rsidRDefault="004C420B" w:rsidP="00F240B5">
      <w:pPr>
        <w:pStyle w:val="FootnoteText"/>
      </w:pPr>
      <w:r>
        <w:rPr>
          <w:rStyle w:val="FootnoteReference"/>
        </w:rPr>
        <w:footnoteRef/>
      </w:r>
      <w:r>
        <w:t xml:space="preserve"> See Cheesman, ‘Spiritual Formation</w:t>
      </w:r>
      <w:r w:rsidR="008A2C62">
        <w:t xml:space="preserve"> as a Goal in Theological Education</w:t>
      </w:r>
      <w:r>
        <w:t xml:space="preserve">’, </w:t>
      </w:r>
      <w:r w:rsidR="008A2C62">
        <w:t>(</w:t>
      </w:r>
      <w:proofErr w:type="spellStart"/>
      <w:r w:rsidR="008A2C62">
        <w:t>n.d.</w:t>
      </w:r>
      <w:proofErr w:type="spellEnd"/>
      <w:r w:rsidR="008A2C62">
        <w:t xml:space="preserve">: www.theologicaleducation.org/resources), </w:t>
      </w:r>
      <w:r>
        <w:t>1</w:t>
      </w:r>
    </w:p>
  </w:footnote>
  <w:footnote w:id="3">
    <w:p w:rsidR="004C420B" w:rsidRPr="008A2C62" w:rsidRDefault="004C420B" w:rsidP="00F240B5">
      <w:pPr>
        <w:pStyle w:val="FootnoteText"/>
      </w:pPr>
      <w:r>
        <w:rPr>
          <w:rStyle w:val="FootnoteReference"/>
        </w:rPr>
        <w:footnoteRef/>
      </w:r>
      <w:r>
        <w:t xml:space="preserve"> </w:t>
      </w:r>
      <w:r w:rsidR="008A2C62">
        <w:t xml:space="preserve">John Paul II, </w:t>
      </w:r>
      <w:proofErr w:type="spellStart"/>
      <w:r w:rsidR="008A2C62">
        <w:rPr>
          <w:i/>
        </w:rPr>
        <w:t>Pastores</w:t>
      </w:r>
      <w:proofErr w:type="spellEnd"/>
      <w:r w:rsidR="008A2C62">
        <w:rPr>
          <w:i/>
        </w:rPr>
        <w:t xml:space="preserve"> </w:t>
      </w:r>
      <w:proofErr w:type="spellStart"/>
      <w:r w:rsidR="008A2C62">
        <w:rPr>
          <w:i/>
        </w:rPr>
        <w:t>Dabo</w:t>
      </w:r>
      <w:proofErr w:type="spellEnd"/>
      <w:r w:rsidR="008A2C62">
        <w:rPr>
          <w:i/>
        </w:rPr>
        <w:t xml:space="preserve"> </w:t>
      </w:r>
      <w:proofErr w:type="spellStart"/>
      <w:r w:rsidR="008A2C62">
        <w:rPr>
          <w:i/>
        </w:rPr>
        <w:t>Vobis</w:t>
      </w:r>
      <w:proofErr w:type="spellEnd"/>
      <w:r w:rsidR="008A2C62">
        <w:rPr>
          <w:i/>
        </w:rPr>
        <w:t>: Post-</w:t>
      </w:r>
      <w:proofErr w:type="spellStart"/>
      <w:r w:rsidR="008A2C62">
        <w:rPr>
          <w:i/>
        </w:rPr>
        <w:t>Synodal</w:t>
      </w:r>
      <w:proofErr w:type="spellEnd"/>
      <w:r w:rsidR="008A2C62">
        <w:rPr>
          <w:i/>
        </w:rPr>
        <w:t xml:space="preserve"> </w:t>
      </w:r>
      <w:proofErr w:type="spellStart"/>
      <w:r w:rsidR="008A2C62">
        <w:rPr>
          <w:i/>
        </w:rPr>
        <w:t>Apolostolic</w:t>
      </w:r>
      <w:proofErr w:type="spellEnd"/>
      <w:r w:rsidR="008A2C62">
        <w:rPr>
          <w:i/>
        </w:rPr>
        <w:t xml:space="preserve"> Exhortation of His John Paul II on the Formation of Priests in the Circumstances of the Present Day </w:t>
      </w:r>
      <w:r w:rsidR="008A2C62">
        <w:t>(London: Catholic Truth Society, 1992).</w:t>
      </w:r>
    </w:p>
  </w:footnote>
  <w:footnote w:id="4">
    <w:p w:rsidR="004C420B" w:rsidRDefault="004C420B" w:rsidP="00F240B5">
      <w:pPr>
        <w:pStyle w:val="FootnoteText"/>
      </w:pPr>
      <w:r>
        <w:rPr>
          <w:rStyle w:val="FootnoteReference"/>
        </w:rPr>
        <w:footnoteRef/>
      </w:r>
      <w:r w:rsidR="008A2C62">
        <w:t xml:space="preserve"> Cheesman</w:t>
      </w:r>
      <w:r>
        <w:t xml:space="preserve">, </w:t>
      </w:r>
      <w:r w:rsidR="008A2C62">
        <w:t xml:space="preserve">‘Spiritual Formation’, </w:t>
      </w:r>
      <w:r>
        <w:t>1</w:t>
      </w:r>
      <w:r w:rsidR="008A2C62">
        <w:t>.</w:t>
      </w:r>
    </w:p>
  </w:footnote>
  <w:footnote w:id="5">
    <w:p w:rsidR="004C420B" w:rsidRPr="00164D45" w:rsidRDefault="004C420B">
      <w:pPr>
        <w:pStyle w:val="FootnoteText"/>
        <w:rPr>
          <w:lang w:val="en-US"/>
        </w:rPr>
      </w:pPr>
      <w:r>
        <w:rPr>
          <w:rStyle w:val="FootnoteReference"/>
        </w:rPr>
        <w:footnoteRef/>
      </w:r>
      <w:r>
        <w:t xml:space="preserve"> </w:t>
      </w:r>
      <w:proofErr w:type="spellStart"/>
      <w:r>
        <w:rPr>
          <w:lang w:val="en-US"/>
        </w:rPr>
        <w:t>Ein</w:t>
      </w:r>
      <w:r w:rsidR="008A2C62">
        <w:rPr>
          <w:lang w:val="en-US"/>
        </w:rPr>
        <w:t>i</w:t>
      </w:r>
      <w:r>
        <w:rPr>
          <w:lang w:val="en-US"/>
        </w:rPr>
        <w:t>ke</w:t>
      </w:r>
      <w:proofErr w:type="spellEnd"/>
      <w:r>
        <w:rPr>
          <w:lang w:val="en-US"/>
        </w:rPr>
        <w:t xml:space="preserve"> Pilli, ‘Toward a Holistic View of Theological Education: Response to Linda </w:t>
      </w:r>
      <w:proofErr w:type="spellStart"/>
      <w:r>
        <w:rPr>
          <w:lang w:val="en-US"/>
        </w:rPr>
        <w:t>Cannell’s</w:t>
      </w:r>
      <w:proofErr w:type="spellEnd"/>
      <w:r>
        <w:rPr>
          <w:lang w:val="en-US"/>
        </w:rPr>
        <w:t xml:space="preserve"> paper “Opportunities for 21</w:t>
      </w:r>
      <w:r w:rsidRPr="00164D45">
        <w:rPr>
          <w:vertAlign w:val="superscript"/>
          <w:lang w:val="en-US"/>
        </w:rPr>
        <w:t>st</w:t>
      </w:r>
      <w:r>
        <w:rPr>
          <w:lang w:val="en-US"/>
        </w:rPr>
        <w:t xml:space="preserve"> Century International Theological Education”’ in </w:t>
      </w:r>
      <w:r>
        <w:rPr>
          <w:i/>
          <w:lang w:val="en-US"/>
        </w:rPr>
        <w:t>Theological Education as Mission</w:t>
      </w:r>
      <w:r>
        <w:rPr>
          <w:lang w:val="en-US"/>
        </w:rPr>
        <w:t xml:space="preserve">, ed. Peter F. </w:t>
      </w:r>
      <w:proofErr w:type="spellStart"/>
      <w:r>
        <w:rPr>
          <w:lang w:val="en-US"/>
        </w:rPr>
        <w:t>Penner</w:t>
      </w:r>
      <w:proofErr w:type="spellEnd"/>
      <w:r>
        <w:rPr>
          <w:lang w:val="en-US"/>
        </w:rPr>
        <w:t xml:space="preserve"> (</w:t>
      </w:r>
      <w:proofErr w:type="spellStart"/>
      <w:r>
        <w:rPr>
          <w:lang w:val="en-US"/>
        </w:rPr>
        <w:t>Scharzenfeld</w:t>
      </w:r>
      <w:proofErr w:type="spellEnd"/>
      <w:r>
        <w:rPr>
          <w:lang w:val="en-US"/>
        </w:rPr>
        <w:t>, G</w:t>
      </w:r>
      <w:r w:rsidR="008A2C62">
        <w:rPr>
          <w:lang w:val="en-US"/>
        </w:rPr>
        <w:t xml:space="preserve">ermany: Neufeld </w:t>
      </w:r>
      <w:proofErr w:type="spellStart"/>
      <w:r w:rsidR="008A2C62">
        <w:rPr>
          <w:lang w:val="en-US"/>
        </w:rPr>
        <w:t>Verlag</w:t>
      </w:r>
      <w:proofErr w:type="spellEnd"/>
      <w:r w:rsidR="008A2C62">
        <w:rPr>
          <w:lang w:val="en-US"/>
        </w:rPr>
        <w:t xml:space="preserve">, 2005), </w:t>
      </w:r>
      <w:r>
        <w:rPr>
          <w:lang w:val="en-US"/>
        </w:rPr>
        <w:t>171</w:t>
      </w:r>
      <w:r w:rsidR="008A2C62">
        <w:rPr>
          <w:lang w:val="en-US"/>
        </w:rPr>
        <w:t>.</w:t>
      </w:r>
    </w:p>
  </w:footnote>
  <w:footnote w:id="6">
    <w:p w:rsidR="004C420B" w:rsidRDefault="004C420B">
      <w:pPr>
        <w:pStyle w:val="FootnoteText"/>
      </w:pPr>
      <w:r>
        <w:rPr>
          <w:rStyle w:val="FootnoteReference"/>
        </w:rPr>
        <w:footnoteRef/>
      </w:r>
      <w:r w:rsidR="00A43490">
        <w:t xml:space="preserve"> PDV, 183-184</w:t>
      </w:r>
    </w:p>
  </w:footnote>
  <w:footnote w:id="7">
    <w:p w:rsidR="004C420B" w:rsidRPr="00A43490" w:rsidRDefault="004C420B">
      <w:pPr>
        <w:pStyle w:val="FootnoteText"/>
      </w:pPr>
      <w:r>
        <w:rPr>
          <w:rStyle w:val="FootnoteReference"/>
        </w:rPr>
        <w:footnoteRef/>
      </w:r>
      <w:r>
        <w:t xml:space="preserve"> </w:t>
      </w:r>
      <w:r w:rsidR="00A43490">
        <w:t xml:space="preserve">“The Iona Document on Spiritual Formation”, in </w:t>
      </w:r>
      <w:r w:rsidR="00A43490">
        <w:rPr>
          <w:i/>
        </w:rPr>
        <w:t>Invitation to the Feast of Life</w:t>
      </w:r>
      <w:r w:rsidR="00A43490">
        <w:t xml:space="preserve">, ed. Samuel </w:t>
      </w:r>
      <w:proofErr w:type="spellStart"/>
      <w:r w:rsidR="00A43490">
        <w:t>Amirtham</w:t>
      </w:r>
      <w:proofErr w:type="spellEnd"/>
      <w:r w:rsidR="00A43490">
        <w:t xml:space="preserve"> and Robin Pryor (Geneva: WCC, </w:t>
      </w:r>
      <w:proofErr w:type="spellStart"/>
      <w:r w:rsidR="00A43490">
        <w:t>n.d.</w:t>
      </w:r>
      <w:proofErr w:type="spellEnd"/>
      <w:r w:rsidR="00A43490">
        <w:t>), 163.</w:t>
      </w:r>
    </w:p>
  </w:footnote>
  <w:footnote w:id="8">
    <w:p w:rsidR="004C420B" w:rsidRDefault="004C420B" w:rsidP="003338D4">
      <w:pPr>
        <w:pStyle w:val="FootnoteText"/>
      </w:pPr>
      <w:r>
        <w:rPr>
          <w:rStyle w:val="FootnoteReference"/>
        </w:rPr>
        <w:footnoteRef/>
      </w:r>
      <w:r w:rsidR="00A43490">
        <w:t xml:space="preserve"> Gordon T. Smith, “</w:t>
      </w:r>
      <w:r>
        <w:t>Spiritual formation i</w:t>
      </w:r>
      <w:r w:rsidR="00A43490">
        <w:t>n the academy: a unifying model,”</w:t>
      </w:r>
      <w:r>
        <w:t xml:space="preserve"> </w:t>
      </w:r>
      <w:r>
        <w:rPr>
          <w:i/>
        </w:rPr>
        <w:t xml:space="preserve">Theological </w:t>
      </w:r>
      <w:proofErr w:type="gramStart"/>
      <w:r>
        <w:rPr>
          <w:i/>
        </w:rPr>
        <w:t>Education</w:t>
      </w:r>
      <w:r w:rsidR="00A43490">
        <w:t xml:space="preserve">  33</w:t>
      </w:r>
      <w:proofErr w:type="gramEnd"/>
      <w:r w:rsidR="00A43490">
        <w:t xml:space="preserve">, no. 1 (1996), </w:t>
      </w:r>
      <w:r>
        <w:t>88</w:t>
      </w:r>
      <w:r w:rsidR="00A43490">
        <w:t>.</w:t>
      </w:r>
    </w:p>
  </w:footnote>
  <w:footnote w:id="9">
    <w:p w:rsidR="004C420B" w:rsidRPr="007E16E3" w:rsidRDefault="004C420B">
      <w:pPr>
        <w:pStyle w:val="FootnoteText"/>
        <w:rPr>
          <w:lang w:val="en-US"/>
        </w:rPr>
      </w:pPr>
      <w:r>
        <w:rPr>
          <w:rStyle w:val="FootnoteReference"/>
        </w:rPr>
        <w:footnoteRef/>
      </w:r>
      <w:r>
        <w:t xml:space="preserve"> </w:t>
      </w:r>
      <w:r w:rsidR="00A43490">
        <w:t xml:space="preserve">Tilden H. </w:t>
      </w:r>
      <w:r>
        <w:rPr>
          <w:lang w:val="en-US"/>
        </w:rPr>
        <w:t>Edwards</w:t>
      </w:r>
      <w:r w:rsidR="00A43490">
        <w:rPr>
          <w:lang w:val="en-US"/>
        </w:rPr>
        <w:t>, Jr.</w:t>
      </w:r>
      <w:r>
        <w:rPr>
          <w:lang w:val="en-US"/>
        </w:rPr>
        <w:t xml:space="preserve">, </w:t>
      </w:r>
      <w:r w:rsidR="00A43490">
        <w:rPr>
          <w:lang w:val="en-US"/>
        </w:rPr>
        <w:t xml:space="preserve">“Spiritual Formation in Theological Schools: Ferment and Challenge,” </w:t>
      </w:r>
      <w:r w:rsidR="00A43490">
        <w:rPr>
          <w:i/>
          <w:lang w:val="en-US"/>
        </w:rPr>
        <w:t xml:space="preserve">Theological Education </w:t>
      </w:r>
      <w:r w:rsidR="00A43490">
        <w:rPr>
          <w:lang w:val="en-US"/>
        </w:rPr>
        <w:t>(1980),</w:t>
      </w:r>
      <w:r>
        <w:rPr>
          <w:lang w:val="en-US"/>
        </w:rPr>
        <w:t xml:space="preserve"> 21</w:t>
      </w:r>
      <w:r w:rsidR="00A43490">
        <w:rPr>
          <w:lang w:val="en-US"/>
        </w:rPr>
        <w:t>.</w:t>
      </w:r>
    </w:p>
  </w:footnote>
  <w:footnote w:id="10">
    <w:p w:rsidR="004C420B" w:rsidRPr="003E2DBD" w:rsidRDefault="004C420B">
      <w:pPr>
        <w:pStyle w:val="FootnoteText"/>
        <w:rPr>
          <w:lang w:val="en-US"/>
        </w:rPr>
      </w:pPr>
      <w:r>
        <w:rPr>
          <w:rStyle w:val="FootnoteReference"/>
        </w:rPr>
        <w:footnoteRef/>
      </w:r>
      <w:r>
        <w:t xml:space="preserve"> Robert Banks, </w:t>
      </w:r>
      <w:proofErr w:type="spellStart"/>
      <w:r>
        <w:rPr>
          <w:i/>
        </w:rPr>
        <w:t>Reenvisioning</w:t>
      </w:r>
      <w:proofErr w:type="spellEnd"/>
      <w:r>
        <w:rPr>
          <w:i/>
        </w:rPr>
        <w:t xml:space="preserve"> Theological Education: Exploring a </w:t>
      </w:r>
      <w:proofErr w:type="spellStart"/>
      <w:r>
        <w:rPr>
          <w:i/>
        </w:rPr>
        <w:t>Missional</w:t>
      </w:r>
      <w:proofErr w:type="spellEnd"/>
      <w:r>
        <w:rPr>
          <w:i/>
        </w:rPr>
        <w:t xml:space="preserve"> Alternative to Current Models </w:t>
      </w:r>
      <w:r w:rsidR="00A43490">
        <w:t xml:space="preserve">(Grand Rapids: Eerdmans, 1999), </w:t>
      </w:r>
      <w:r w:rsidR="00A43490">
        <w:rPr>
          <w:lang w:val="en-US"/>
        </w:rPr>
        <w:t>191.</w:t>
      </w:r>
    </w:p>
  </w:footnote>
  <w:footnote w:id="11">
    <w:p w:rsidR="004C420B" w:rsidRPr="000010DD" w:rsidRDefault="004C420B">
      <w:pPr>
        <w:pStyle w:val="FootnoteText"/>
        <w:rPr>
          <w:lang w:val="en-US"/>
        </w:rPr>
      </w:pPr>
      <w:r>
        <w:rPr>
          <w:rStyle w:val="FootnoteReference"/>
        </w:rPr>
        <w:footnoteRef/>
      </w:r>
      <w:r>
        <w:t xml:space="preserve"> </w:t>
      </w:r>
      <w:r>
        <w:rPr>
          <w:lang w:val="en-US"/>
        </w:rPr>
        <w:t xml:space="preserve">Henri J. M. </w:t>
      </w:r>
      <w:proofErr w:type="spellStart"/>
      <w:r>
        <w:rPr>
          <w:lang w:val="en-US"/>
        </w:rPr>
        <w:t>Nouwen</w:t>
      </w:r>
      <w:proofErr w:type="spellEnd"/>
      <w:r>
        <w:rPr>
          <w:lang w:val="en-US"/>
        </w:rPr>
        <w:t xml:space="preserve">, </w:t>
      </w:r>
      <w:r>
        <w:rPr>
          <w:i/>
          <w:lang w:val="en-US"/>
        </w:rPr>
        <w:t xml:space="preserve">Reaching Out: The Three Movements of the Spiritual Life </w:t>
      </w:r>
      <w:r>
        <w:rPr>
          <w:lang w:val="en-US"/>
        </w:rPr>
        <w:t>(Glasgow: William</w:t>
      </w:r>
      <w:r w:rsidR="00A43490">
        <w:rPr>
          <w:lang w:val="en-US"/>
        </w:rPr>
        <w:t xml:space="preserve"> Collins Sons &amp; Co Ltd, 1976), </w:t>
      </w:r>
      <w:r>
        <w:rPr>
          <w:lang w:val="en-US"/>
        </w:rPr>
        <w:t>79.</w:t>
      </w:r>
    </w:p>
  </w:footnote>
  <w:footnote w:id="12">
    <w:p w:rsidR="004C420B" w:rsidRPr="00E87809" w:rsidRDefault="004C420B">
      <w:pPr>
        <w:pStyle w:val="FootnoteText"/>
      </w:pPr>
      <w:r>
        <w:rPr>
          <w:rStyle w:val="FootnoteReference"/>
        </w:rPr>
        <w:footnoteRef/>
      </w:r>
      <w:r w:rsidR="00A43490">
        <w:t xml:space="preserve"> </w:t>
      </w:r>
      <w:proofErr w:type="gramStart"/>
      <w:r w:rsidR="00A43490">
        <w:t>Banks,</w:t>
      </w:r>
      <w:r>
        <w:t xml:space="preserve"> 200.</w:t>
      </w:r>
      <w:proofErr w:type="gramEnd"/>
    </w:p>
  </w:footnote>
  <w:footnote w:id="13">
    <w:p w:rsidR="004C420B" w:rsidRPr="00B95758" w:rsidRDefault="004C420B">
      <w:pPr>
        <w:pStyle w:val="FootnoteText"/>
        <w:rPr>
          <w:lang w:val="en-US"/>
        </w:rPr>
      </w:pPr>
      <w:r>
        <w:rPr>
          <w:rStyle w:val="FootnoteReference"/>
        </w:rPr>
        <w:footnoteRef/>
      </w:r>
      <w:r>
        <w:t xml:space="preserve"> </w:t>
      </w:r>
      <w:proofErr w:type="gramStart"/>
      <w:r w:rsidR="00A43490">
        <w:rPr>
          <w:lang w:val="en-US"/>
        </w:rPr>
        <w:t>“Report of the Task Force of Spiritual Direction</w:t>
      </w:r>
      <w:r>
        <w:rPr>
          <w:lang w:val="en-US"/>
        </w:rPr>
        <w:t>,</w:t>
      </w:r>
      <w:r w:rsidR="00A43490">
        <w:rPr>
          <w:lang w:val="en-US"/>
        </w:rPr>
        <w:t xml:space="preserve">” </w:t>
      </w:r>
      <w:r w:rsidR="00A43490">
        <w:rPr>
          <w:i/>
          <w:lang w:val="en-US"/>
        </w:rPr>
        <w:t>Theological Education</w:t>
      </w:r>
      <w:r w:rsidR="00A43490">
        <w:rPr>
          <w:lang w:val="en-US"/>
        </w:rPr>
        <w:t xml:space="preserve"> Spring 1972,</w:t>
      </w:r>
      <w:r w:rsidR="005075F2">
        <w:rPr>
          <w:lang w:val="en-US"/>
        </w:rPr>
        <w:t xml:space="preserve"> 161.</w:t>
      </w:r>
      <w:proofErr w:type="gramEnd"/>
    </w:p>
  </w:footnote>
  <w:footnote w:id="14">
    <w:p w:rsidR="004C420B" w:rsidRPr="00683393" w:rsidRDefault="004C420B">
      <w:pPr>
        <w:pStyle w:val="FootnoteText"/>
        <w:rPr>
          <w:lang w:val="en-US"/>
        </w:rPr>
      </w:pPr>
      <w:r>
        <w:rPr>
          <w:rStyle w:val="FootnoteReference"/>
        </w:rPr>
        <w:footnoteRef/>
      </w:r>
      <w:r>
        <w:t xml:space="preserve"> </w:t>
      </w:r>
      <w:r>
        <w:rPr>
          <w:lang w:val="en-US"/>
        </w:rPr>
        <w:t>Banks, 201</w:t>
      </w:r>
    </w:p>
  </w:footnote>
  <w:footnote w:id="15">
    <w:p w:rsidR="004C420B" w:rsidRPr="00BB10A4" w:rsidRDefault="004C420B">
      <w:pPr>
        <w:pStyle w:val="FootnoteText"/>
        <w:rPr>
          <w:lang w:val="en-US"/>
        </w:rPr>
      </w:pPr>
      <w:r>
        <w:rPr>
          <w:rStyle w:val="FootnoteReference"/>
        </w:rPr>
        <w:footnoteRef/>
      </w:r>
      <w:r>
        <w:t xml:space="preserve"> </w:t>
      </w:r>
      <w:r w:rsidR="00DD565B">
        <w:rPr>
          <w:lang w:val="en-US"/>
        </w:rPr>
        <w:t>Edwards, 28</w:t>
      </w:r>
    </w:p>
  </w:footnote>
  <w:footnote w:id="16">
    <w:p w:rsidR="004C420B" w:rsidRDefault="004C420B">
      <w:pPr>
        <w:pStyle w:val="FootnoteText"/>
      </w:pPr>
      <w:r>
        <w:rPr>
          <w:rStyle w:val="FootnoteReference"/>
        </w:rPr>
        <w:footnoteRef/>
      </w:r>
      <w:r>
        <w:t xml:space="preserve"> PDV,</w:t>
      </w:r>
      <w:r w:rsidR="00DD565B">
        <w:t xml:space="preserve"> 175</w:t>
      </w:r>
    </w:p>
  </w:footnote>
  <w:footnote w:id="17">
    <w:p w:rsidR="004C420B" w:rsidRPr="00DD565B" w:rsidRDefault="004C420B">
      <w:pPr>
        <w:pStyle w:val="FootnoteText"/>
        <w:rPr>
          <w:lang w:val="en-US"/>
        </w:rPr>
      </w:pPr>
      <w:r>
        <w:rPr>
          <w:rStyle w:val="FootnoteReference"/>
        </w:rPr>
        <w:footnoteRef/>
      </w:r>
      <w:r>
        <w:t xml:space="preserve"> </w:t>
      </w:r>
      <w:proofErr w:type="gramStart"/>
      <w:r w:rsidR="00DD565B">
        <w:rPr>
          <w:lang w:val="en-US"/>
        </w:rPr>
        <w:t xml:space="preserve">Parker Palmer, </w:t>
      </w:r>
      <w:r w:rsidR="00DD565B">
        <w:rPr>
          <w:i/>
          <w:lang w:val="en-US"/>
        </w:rPr>
        <w:t>To Know as we are Known</w:t>
      </w:r>
      <w:r w:rsidR="00DD565B">
        <w:rPr>
          <w:lang w:val="en-US"/>
        </w:rPr>
        <w:t xml:space="preserve"> (</w:t>
      </w:r>
      <w:r w:rsidR="005075F2">
        <w:rPr>
          <w:lang w:val="en-US"/>
        </w:rPr>
        <w:t>New York: Harper Collins, 1993), 33.</w:t>
      </w:r>
      <w:proofErr w:type="gramEnd"/>
    </w:p>
  </w:footnote>
  <w:footnote w:id="18">
    <w:p w:rsidR="004C420B" w:rsidRPr="00E87809" w:rsidRDefault="004C420B">
      <w:pPr>
        <w:pStyle w:val="FootnoteText"/>
      </w:pPr>
      <w:r>
        <w:rPr>
          <w:rStyle w:val="FootnoteReference"/>
        </w:rPr>
        <w:footnoteRef/>
      </w:r>
      <w:r w:rsidR="005075F2">
        <w:t xml:space="preserve"> </w:t>
      </w:r>
      <w:proofErr w:type="gramStart"/>
      <w:r w:rsidR="005075F2">
        <w:t xml:space="preserve">Banks, </w:t>
      </w:r>
      <w:r>
        <w:t>200</w:t>
      </w:r>
      <w:r w:rsidR="005075F2">
        <w:t>.</w:t>
      </w:r>
      <w:proofErr w:type="gramEnd"/>
    </w:p>
  </w:footnote>
  <w:footnote w:id="19">
    <w:p w:rsidR="004C420B" w:rsidRPr="00C33552" w:rsidRDefault="004C420B">
      <w:pPr>
        <w:pStyle w:val="FootnoteText"/>
        <w:rPr>
          <w:lang w:val="en-US"/>
        </w:rPr>
      </w:pPr>
      <w:r>
        <w:rPr>
          <w:rStyle w:val="FootnoteReference"/>
        </w:rPr>
        <w:footnoteRef/>
      </w:r>
      <w:r>
        <w:t xml:space="preserve"> </w:t>
      </w:r>
      <w:proofErr w:type="gramStart"/>
      <w:r w:rsidR="005075F2">
        <w:t xml:space="preserve">Graham </w:t>
      </w:r>
      <w:r>
        <w:rPr>
          <w:lang w:val="en-US"/>
        </w:rPr>
        <w:t>Cheesman, ‘</w:t>
      </w:r>
      <w:r w:rsidR="005075F2">
        <w:rPr>
          <w:lang w:val="en-US"/>
        </w:rPr>
        <w:t xml:space="preserve">A </w:t>
      </w:r>
      <w:r>
        <w:rPr>
          <w:lang w:val="en-US"/>
        </w:rPr>
        <w:t>Conversation</w:t>
      </w:r>
      <w:r w:rsidR="005075F2">
        <w:rPr>
          <w:lang w:val="en-US"/>
        </w:rPr>
        <w:t xml:space="preserve"> with Henri </w:t>
      </w:r>
      <w:proofErr w:type="spellStart"/>
      <w:r w:rsidR="005075F2">
        <w:rPr>
          <w:lang w:val="en-US"/>
        </w:rPr>
        <w:t>Nouwen</w:t>
      </w:r>
      <w:proofErr w:type="spellEnd"/>
      <w:r w:rsidR="005075F2">
        <w:rPr>
          <w:lang w:val="en-US"/>
        </w:rPr>
        <w:t xml:space="preserve"> about Theological Education,</w:t>
      </w:r>
      <w:r>
        <w:rPr>
          <w:lang w:val="en-US"/>
        </w:rPr>
        <w:t>’</w:t>
      </w:r>
      <w:r w:rsidR="005075F2">
        <w:rPr>
          <w:lang w:val="en-US"/>
        </w:rPr>
        <w:t xml:space="preserve"> (Unpublished Article),</w:t>
      </w:r>
      <w:r>
        <w:rPr>
          <w:lang w:val="en-US"/>
        </w:rPr>
        <w:t xml:space="preserve"> </w:t>
      </w:r>
      <w:proofErr w:type="spellStart"/>
      <w:r>
        <w:rPr>
          <w:lang w:val="en-US"/>
        </w:rPr>
        <w:t>n.p</w:t>
      </w:r>
      <w:proofErr w:type="spellEnd"/>
      <w:r>
        <w:rPr>
          <w:lang w:val="en-US"/>
        </w:rPr>
        <w:t>.</w:t>
      </w:r>
      <w:proofErr w:type="gramEnd"/>
    </w:p>
  </w:footnote>
  <w:footnote w:id="20">
    <w:p w:rsidR="004C420B" w:rsidRPr="003057C7" w:rsidRDefault="004C420B">
      <w:pPr>
        <w:pStyle w:val="FootnoteText"/>
      </w:pPr>
      <w:r>
        <w:rPr>
          <w:rStyle w:val="FootnoteReference"/>
        </w:rPr>
        <w:footnoteRef/>
      </w:r>
      <w:r>
        <w:t xml:space="preserve"> </w:t>
      </w:r>
      <w:r w:rsidRPr="003057C7">
        <w:t xml:space="preserve">Sometimes, outside of the genteel binding of the academic journal, such sentiments are voiced explicitly and directly to the students.  </w:t>
      </w:r>
    </w:p>
  </w:footnote>
  <w:footnote w:id="21">
    <w:p w:rsidR="004C420B" w:rsidRDefault="004C420B">
      <w:pPr>
        <w:pStyle w:val="FootnoteText"/>
      </w:pPr>
      <w:r>
        <w:rPr>
          <w:rStyle w:val="FootnoteReference"/>
        </w:rPr>
        <w:footnoteRef/>
      </w:r>
      <w:r>
        <w:t xml:space="preserve"> </w:t>
      </w:r>
      <w:proofErr w:type="gramStart"/>
      <w:r>
        <w:t>So Hall, summarized in Chees</w:t>
      </w:r>
      <w:r w:rsidR="005075F2">
        <w:t xml:space="preserve">man, “Spiritual Formation”, </w:t>
      </w:r>
      <w:r>
        <w:t>29</w:t>
      </w:r>
      <w:r w:rsidR="005075F2">
        <w:t>.</w:t>
      </w:r>
      <w:proofErr w:type="gramEnd"/>
    </w:p>
  </w:footnote>
  <w:footnote w:id="22">
    <w:p w:rsidR="004C420B" w:rsidRPr="004F464A" w:rsidRDefault="004C420B">
      <w:pPr>
        <w:pStyle w:val="FootnoteText"/>
      </w:pPr>
      <w:r>
        <w:rPr>
          <w:rStyle w:val="FootnoteReference"/>
        </w:rPr>
        <w:footnoteRef/>
      </w:r>
      <w:r>
        <w:t xml:space="preserve"> Smi</w:t>
      </w:r>
      <w:r w:rsidR="005075F2">
        <w:t>th, 86.</w:t>
      </w:r>
    </w:p>
  </w:footnote>
  <w:footnote w:id="23">
    <w:p w:rsidR="004C420B" w:rsidRDefault="004C420B">
      <w:pPr>
        <w:pStyle w:val="FootnoteText"/>
      </w:pPr>
      <w:r>
        <w:rPr>
          <w:rStyle w:val="FootnoteReference"/>
        </w:rPr>
        <w:footnoteRef/>
      </w:r>
      <w:r>
        <w:t xml:space="preserve"> Chee</w:t>
      </w:r>
      <w:r w:rsidR="005075F2">
        <w:t>sman, “Spiritual Formation”,</w:t>
      </w:r>
      <w:r>
        <w:t xml:space="preserve"> 33</w:t>
      </w:r>
      <w:r w:rsidR="005075F2">
        <w:t>.</w:t>
      </w:r>
    </w:p>
  </w:footnote>
  <w:footnote w:id="24">
    <w:p w:rsidR="004C420B" w:rsidRPr="001E01EF" w:rsidRDefault="004C420B">
      <w:pPr>
        <w:pStyle w:val="FootnoteText"/>
      </w:pPr>
      <w:r>
        <w:rPr>
          <w:rStyle w:val="FootnoteReference"/>
        </w:rPr>
        <w:footnoteRef/>
      </w:r>
      <w:r>
        <w:t xml:space="preserve"> </w:t>
      </w:r>
      <w:r w:rsidRPr="001E01EF">
        <w:t xml:space="preserve">That this has potential to be a real scenario rather than just hypothesis becomes chillingly clear in a survey of literature addressing formation: </w:t>
      </w:r>
      <w:r>
        <w:t xml:space="preserve">many of </w:t>
      </w:r>
      <w:r w:rsidRPr="001E01EF">
        <w:t>the same problems that prompted the debate are still going full force today</w:t>
      </w:r>
      <w:r w:rsidR="005075F2">
        <w:t xml:space="preserve">.  </w:t>
      </w:r>
    </w:p>
  </w:footnote>
  <w:footnote w:id="25">
    <w:p w:rsidR="004C420B" w:rsidRPr="00770E3E" w:rsidRDefault="004C420B">
      <w:pPr>
        <w:pStyle w:val="FootnoteText"/>
      </w:pPr>
      <w:r>
        <w:rPr>
          <w:rStyle w:val="FootnoteReference"/>
        </w:rPr>
        <w:footnoteRef/>
      </w:r>
      <w:r>
        <w:t xml:space="preserve"> </w:t>
      </w:r>
      <w:proofErr w:type="spellStart"/>
      <w:proofErr w:type="gramStart"/>
      <w:r>
        <w:t>Nouwen</w:t>
      </w:r>
      <w:proofErr w:type="spellEnd"/>
      <w:r>
        <w:t>, 78.</w:t>
      </w:r>
      <w:proofErr w:type="gramEnd"/>
    </w:p>
  </w:footnote>
  <w:footnote w:id="26">
    <w:p w:rsidR="004C420B" w:rsidRPr="005075F2" w:rsidRDefault="004C420B">
      <w:pPr>
        <w:pStyle w:val="FootnoteText"/>
      </w:pPr>
      <w:r>
        <w:rPr>
          <w:rStyle w:val="FootnoteReference"/>
        </w:rPr>
        <w:footnoteRef/>
      </w:r>
      <w:r w:rsidR="005075F2">
        <w:t xml:space="preserve"> Ibid, </w:t>
      </w:r>
      <w:r>
        <w:t xml:space="preserve">68-69; see Palmer, </w:t>
      </w:r>
      <w:r w:rsidR="005075F2">
        <w:t>74</w:t>
      </w:r>
    </w:p>
  </w:footnote>
  <w:footnote w:id="27">
    <w:p w:rsidR="004C420B" w:rsidRDefault="004C420B">
      <w:pPr>
        <w:pStyle w:val="FootnoteText"/>
      </w:pPr>
      <w:r>
        <w:rPr>
          <w:rStyle w:val="FootnoteReference"/>
        </w:rPr>
        <w:footnoteRef/>
      </w:r>
      <w:r w:rsidR="005075F2">
        <w:t xml:space="preserve"> </w:t>
      </w:r>
      <w:proofErr w:type="spellStart"/>
      <w:r w:rsidR="005075F2">
        <w:t>Nouwen</w:t>
      </w:r>
      <w:proofErr w:type="spellEnd"/>
      <w:r w:rsidR="005075F2">
        <w:t xml:space="preserve">, </w:t>
      </w:r>
      <w:r>
        <w:t>80-81</w:t>
      </w:r>
      <w:r w:rsidR="005075F2">
        <w:t>.</w:t>
      </w:r>
    </w:p>
  </w:footnote>
  <w:footnote w:id="28">
    <w:p w:rsidR="004C420B" w:rsidRDefault="004C420B">
      <w:pPr>
        <w:pStyle w:val="FootnoteText"/>
      </w:pPr>
      <w:r>
        <w:rPr>
          <w:rStyle w:val="FootnoteReference"/>
        </w:rPr>
        <w:footnoteRef/>
      </w:r>
      <w:r>
        <w:t xml:space="preserve"> Ibid.</w:t>
      </w:r>
    </w:p>
  </w:footnote>
  <w:footnote w:id="29">
    <w:p w:rsidR="004C420B" w:rsidRDefault="004C420B">
      <w:pPr>
        <w:pStyle w:val="FootnoteText"/>
      </w:pPr>
      <w:r>
        <w:rPr>
          <w:rStyle w:val="FootnoteReference"/>
        </w:rPr>
        <w:footnoteRef/>
      </w:r>
      <w:r w:rsidR="005075F2">
        <w:t xml:space="preserve"> Cheesman, ‘Conversation’, </w:t>
      </w:r>
      <w:proofErr w:type="spellStart"/>
      <w:r w:rsidR="005075F2">
        <w:t>n.p</w:t>
      </w:r>
      <w:proofErr w:type="spellEnd"/>
      <w:r w:rsidR="005075F2">
        <w:t>.</w:t>
      </w:r>
    </w:p>
  </w:footnote>
  <w:footnote w:id="30">
    <w:p w:rsidR="004C420B" w:rsidRPr="00170161" w:rsidRDefault="004C420B" w:rsidP="00522ACB">
      <w:pPr>
        <w:pStyle w:val="FootnoteText"/>
      </w:pPr>
      <w:r>
        <w:rPr>
          <w:rStyle w:val="FootnoteReference"/>
        </w:rPr>
        <w:footnoteRef/>
      </w:r>
      <w:r>
        <w:t xml:space="preserve"> </w:t>
      </w:r>
      <w:proofErr w:type="gramStart"/>
      <w:r>
        <w:t xml:space="preserve">David Kelsey, </w:t>
      </w:r>
      <w:r>
        <w:rPr>
          <w:i/>
        </w:rPr>
        <w:t xml:space="preserve">Between </w:t>
      </w:r>
      <w:smartTag w:uri="urn:schemas-microsoft-com:office:smarttags" w:element="City">
        <w:r>
          <w:rPr>
            <w:i/>
          </w:rPr>
          <w:t>Athens</w:t>
        </w:r>
      </w:smartTag>
      <w:r>
        <w:rPr>
          <w:i/>
        </w:rPr>
        <w:t xml:space="preserve"> and </w:t>
      </w:r>
      <w:smartTag w:uri="urn:schemas-microsoft-com:office:smarttags" w:element="place">
        <w:smartTag w:uri="urn:schemas-microsoft-com:office:smarttags" w:element="State">
          <w:r>
            <w:rPr>
              <w:i/>
            </w:rPr>
            <w:t>Berlin</w:t>
          </w:r>
        </w:smartTag>
      </w:smartTag>
      <w:r>
        <w:rPr>
          <w:i/>
        </w:rPr>
        <w:t xml:space="preserve"> </w:t>
      </w:r>
      <w:r>
        <w:t>(Grand Rapids: Eerdmans, 1993).</w:t>
      </w:r>
      <w:proofErr w:type="gramEnd"/>
    </w:p>
  </w:footnote>
  <w:footnote w:id="31">
    <w:p w:rsidR="004C420B" w:rsidRDefault="004C420B" w:rsidP="00522ACB">
      <w:pPr>
        <w:pStyle w:val="FootnoteText"/>
      </w:pPr>
      <w:r>
        <w:rPr>
          <w:rStyle w:val="FootnoteReference"/>
        </w:rPr>
        <w:footnoteRef/>
      </w:r>
      <w:r>
        <w:t xml:space="preserve"> This sort of de-contextualization may well be impossible; the models themselves were born in cultural and historical contexts, and arguably will not transfer to other situations.  See Andrew Kirk, </w:t>
      </w:r>
      <w:proofErr w:type="spellStart"/>
      <w:r>
        <w:t>‘Re</w:t>
      </w:r>
      <w:proofErr w:type="spellEnd"/>
      <w:r>
        <w:t xml:space="preserve">-envisioning the Theological Curriculum as if the </w:t>
      </w:r>
      <w:proofErr w:type="spellStart"/>
      <w:r>
        <w:rPr>
          <w:i/>
        </w:rPr>
        <w:t>Missio</w:t>
      </w:r>
      <w:proofErr w:type="spellEnd"/>
      <w:r>
        <w:rPr>
          <w:i/>
        </w:rPr>
        <w:t xml:space="preserve"> Dei </w:t>
      </w:r>
      <w:r>
        <w:t>mattered’</w:t>
      </w:r>
      <w:r>
        <w:rPr>
          <w:lang w:val="en-US"/>
        </w:rPr>
        <w:t xml:space="preserve">in </w:t>
      </w:r>
      <w:r>
        <w:rPr>
          <w:i/>
          <w:lang w:val="en-US"/>
        </w:rPr>
        <w:t>Theological Education as Mission</w:t>
      </w:r>
      <w:r>
        <w:rPr>
          <w:lang w:val="en-US"/>
        </w:rPr>
        <w:t xml:space="preserve">, ed. Peter F. </w:t>
      </w:r>
      <w:proofErr w:type="spellStart"/>
      <w:r>
        <w:rPr>
          <w:lang w:val="en-US"/>
        </w:rPr>
        <w:t>Penner</w:t>
      </w:r>
      <w:proofErr w:type="spellEnd"/>
      <w:r>
        <w:rPr>
          <w:lang w:val="en-US"/>
        </w:rPr>
        <w:t xml:space="preserve"> (</w:t>
      </w:r>
      <w:proofErr w:type="spellStart"/>
      <w:r>
        <w:rPr>
          <w:lang w:val="en-US"/>
        </w:rPr>
        <w:t>Scharzenfeld</w:t>
      </w:r>
      <w:proofErr w:type="spellEnd"/>
      <w:r>
        <w:rPr>
          <w:lang w:val="en-US"/>
        </w:rPr>
        <w:t xml:space="preserve">, Germany: Neufeld </w:t>
      </w:r>
      <w:proofErr w:type="spellStart"/>
      <w:r>
        <w:rPr>
          <w:lang w:val="en-US"/>
        </w:rPr>
        <w:t>V</w:t>
      </w:r>
      <w:r w:rsidR="005075F2">
        <w:rPr>
          <w:lang w:val="en-US"/>
        </w:rPr>
        <w:t>erlag</w:t>
      </w:r>
      <w:proofErr w:type="spellEnd"/>
      <w:r w:rsidR="005075F2">
        <w:rPr>
          <w:lang w:val="en-US"/>
        </w:rPr>
        <w:t>, 2005),</w:t>
      </w:r>
      <w:r>
        <w:t xml:space="preserve"> 23.</w:t>
      </w:r>
    </w:p>
  </w:footnote>
  <w:footnote w:id="32">
    <w:p w:rsidR="004C420B" w:rsidRDefault="004C420B" w:rsidP="00522ACB">
      <w:pPr>
        <w:pStyle w:val="FootnoteText"/>
      </w:pPr>
      <w:r>
        <w:rPr>
          <w:rStyle w:val="FootnoteReference"/>
        </w:rPr>
        <w:footnoteRef/>
      </w:r>
      <w:r>
        <w:t xml:space="preserve"> </w:t>
      </w:r>
      <w:proofErr w:type="gramStart"/>
      <w:r>
        <w:t>Kelsey, 6.</w:t>
      </w:r>
      <w:proofErr w:type="gramEnd"/>
    </w:p>
  </w:footnote>
  <w:footnote w:id="33">
    <w:p w:rsidR="005075F2" w:rsidRPr="005075F2" w:rsidRDefault="005075F2">
      <w:pPr>
        <w:pStyle w:val="FootnoteText"/>
        <w:rPr>
          <w:lang w:val="en-US"/>
        </w:rPr>
      </w:pPr>
      <w:r>
        <w:rPr>
          <w:rStyle w:val="FootnoteReference"/>
        </w:rPr>
        <w:footnoteRef/>
      </w:r>
      <w:r>
        <w:t xml:space="preserve"> </w:t>
      </w:r>
      <w:proofErr w:type="gramStart"/>
      <w:r>
        <w:rPr>
          <w:lang w:val="en-US"/>
        </w:rPr>
        <w:t>Ibid, 11.</w:t>
      </w:r>
      <w:proofErr w:type="gramEnd"/>
    </w:p>
  </w:footnote>
  <w:footnote w:id="34">
    <w:p w:rsidR="004C420B" w:rsidRDefault="004C420B">
      <w:pPr>
        <w:pStyle w:val="FootnoteText"/>
      </w:pPr>
      <w:r>
        <w:rPr>
          <w:rStyle w:val="FootnoteReference"/>
        </w:rPr>
        <w:footnoteRef/>
      </w:r>
      <w:r w:rsidR="005075F2">
        <w:t xml:space="preserve"> Ibid, </w:t>
      </w:r>
      <w:r w:rsidR="008E1217">
        <w:t>49-50.</w:t>
      </w:r>
    </w:p>
  </w:footnote>
  <w:footnote w:id="35">
    <w:p w:rsidR="004C420B" w:rsidRDefault="004C420B" w:rsidP="00522ACB">
      <w:pPr>
        <w:pStyle w:val="FootnoteText"/>
      </w:pPr>
      <w:r>
        <w:rPr>
          <w:rStyle w:val="FootnoteReference"/>
        </w:rPr>
        <w:footnoteRef/>
      </w:r>
      <w:r w:rsidR="008E1217">
        <w:t xml:space="preserve"> Ibid.</w:t>
      </w:r>
    </w:p>
  </w:footnote>
  <w:footnote w:id="36">
    <w:p w:rsidR="004C420B" w:rsidRDefault="004C420B" w:rsidP="00522ACB">
      <w:pPr>
        <w:pStyle w:val="FootnoteText"/>
      </w:pPr>
      <w:r>
        <w:rPr>
          <w:rStyle w:val="FootnoteReference"/>
        </w:rPr>
        <w:footnoteRef/>
      </w:r>
      <w:r w:rsidR="008E1217">
        <w:t xml:space="preserve"> </w:t>
      </w:r>
      <w:proofErr w:type="gramStart"/>
      <w:r w:rsidR="008E1217">
        <w:t>Ibid, 64.</w:t>
      </w:r>
      <w:proofErr w:type="gramEnd"/>
    </w:p>
  </w:footnote>
  <w:footnote w:id="37">
    <w:p w:rsidR="004C420B" w:rsidRDefault="004C420B" w:rsidP="00522ACB">
      <w:pPr>
        <w:pStyle w:val="FootnoteText"/>
      </w:pPr>
      <w:r>
        <w:rPr>
          <w:rStyle w:val="FootnoteReference"/>
        </w:rPr>
        <w:footnoteRef/>
      </w:r>
      <w:r w:rsidR="008E1217">
        <w:t xml:space="preserve"> </w:t>
      </w:r>
      <w:proofErr w:type="gramStart"/>
      <w:r w:rsidR="008E1217">
        <w:t>Ibid, 11ff.</w:t>
      </w:r>
      <w:proofErr w:type="gramEnd"/>
    </w:p>
  </w:footnote>
  <w:footnote w:id="38">
    <w:p w:rsidR="004C420B" w:rsidRPr="00170161" w:rsidRDefault="004C420B" w:rsidP="00522ACB">
      <w:pPr>
        <w:pStyle w:val="FootnoteText"/>
      </w:pPr>
      <w:r>
        <w:rPr>
          <w:rStyle w:val="FootnoteReference"/>
        </w:rPr>
        <w:footnoteRef/>
      </w:r>
      <w:r>
        <w:t xml:space="preserve"> Robert Banks, </w:t>
      </w:r>
      <w:proofErr w:type="spellStart"/>
      <w:r>
        <w:rPr>
          <w:i/>
        </w:rPr>
        <w:t>Reenvisioning</w:t>
      </w:r>
      <w:proofErr w:type="spellEnd"/>
      <w:r>
        <w:rPr>
          <w:i/>
        </w:rPr>
        <w:t xml:space="preserve"> Theological Education: Exploring a </w:t>
      </w:r>
      <w:proofErr w:type="spellStart"/>
      <w:r>
        <w:rPr>
          <w:i/>
        </w:rPr>
        <w:t>Missional</w:t>
      </w:r>
      <w:proofErr w:type="spellEnd"/>
      <w:r>
        <w:rPr>
          <w:i/>
        </w:rPr>
        <w:t xml:space="preserve"> Alternative to Current Models </w:t>
      </w:r>
      <w:r>
        <w:t>(Grand Rapids: Eerdmans, 1999).</w:t>
      </w:r>
    </w:p>
  </w:footnote>
  <w:footnote w:id="39">
    <w:p w:rsidR="004C420B" w:rsidRDefault="004C420B">
      <w:pPr>
        <w:pStyle w:val="FootnoteText"/>
      </w:pPr>
      <w:r>
        <w:rPr>
          <w:rStyle w:val="FootnoteReference"/>
        </w:rPr>
        <w:footnoteRef/>
      </w:r>
      <w:r w:rsidR="008E1217">
        <w:t xml:space="preserve"> </w:t>
      </w:r>
      <w:proofErr w:type="gramStart"/>
      <w:r w:rsidR="008E1217">
        <w:t>Ibid, 142.</w:t>
      </w:r>
      <w:proofErr w:type="gramEnd"/>
    </w:p>
  </w:footnote>
  <w:footnote w:id="40">
    <w:p w:rsidR="004C420B" w:rsidRDefault="004C420B" w:rsidP="00522ACB">
      <w:pPr>
        <w:pStyle w:val="FootnoteText"/>
      </w:pPr>
      <w:r>
        <w:rPr>
          <w:rStyle w:val="FootnoteReference"/>
        </w:rPr>
        <w:footnoteRef/>
      </w:r>
      <w:r>
        <w:t xml:space="preserve"> </w:t>
      </w:r>
      <w:proofErr w:type="gramStart"/>
      <w:r>
        <w:t>Ibid,</w:t>
      </w:r>
      <w:r w:rsidR="008E1217">
        <w:t xml:space="preserve"> 144.</w:t>
      </w:r>
      <w:proofErr w:type="gramEnd"/>
    </w:p>
  </w:footnote>
  <w:footnote w:id="41">
    <w:p w:rsidR="004C420B" w:rsidRPr="008E1217" w:rsidRDefault="004C420B" w:rsidP="00522ACB">
      <w:pPr>
        <w:pStyle w:val="FootnoteText"/>
      </w:pPr>
      <w:r>
        <w:rPr>
          <w:rStyle w:val="FootnoteReference"/>
        </w:rPr>
        <w:footnoteRef/>
      </w:r>
      <w:r w:rsidR="008E1217">
        <w:t xml:space="preserve"> Telford Work, “Education as Mission,” </w:t>
      </w:r>
      <w:r w:rsidR="008E1217">
        <w:rPr>
          <w:i/>
        </w:rPr>
        <w:t xml:space="preserve">Journal of Education and Christian </w:t>
      </w:r>
      <w:proofErr w:type="gramStart"/>
      <w:r w:rsidR="008E1217">
        <w:rPr>
          <w:i/>
        </w:rPr>
        <w:t>Belief</w:t>
      </w:r>
      <w:r w:rsidR="008E1217">
        <w:t xml:space="preserve"> ,</w:t>
      </w:r>
      <w:proofErr w:type="gramEnd"/>
      <w:r w:rsidR="008E1217">
        <w:t xml:space="preserve"> Spring 2007.</w:t>
      </w:r>
    </w:p>
  </w:footnote>
  <w:footnote w:id="42">
    <w:p w:rsidR="004C420B" w:rsidRPr="000B1569" w:rsidRDefault="004C420B" w:rsidP="00522ACB">
      <w:pPr>
        <w:pStyle w:val="FootnoteText"/>
      </w:pPr>
      <w:r>
        <w:rPr>
          <w:rStyle w:val="FootnoteReference"/>
        </w:rPr>
        <w:footnoteRef/>
      </w:r>
      <w:r>
        <w:t xml:space="preserve"> In what can only be an example of murdering the metaphor, Johns describes her ambitious model as ‘the </w:t>
      </w:r>
      <w:smartTag w:uri="urn:schemas-microsoft-com:office:smarttags" w:element="Street">
        <w:smartTag w:uri="urn:schemas-microsoft-com:office:smarttags" w:element="address">
          <w:r>
            <w:t>Azusa Street</w:t>
          </w:r>
        </w:smartTag>
      </w:smartTag>
      <w:r>
        <w:t xml:space="preserve"> intersection with the </w:t>
      </w:r>
      <w:smartTag w:uri="urn:schemas-microsoft-com:office:smarttags" w:element="Street">
        <w:smartTag w:uri="urn:schemas-microsoft-com:office:smarttags" w:element="address">
          <w:r>
            <w:t>Jerusalem Road</w:t>
          </w:r>
        </w:smartTag>
      </w:smartTag>
      <w:r>
        <w:t xml:space="preserve"> and the </w:t>
      </w:r>
      <w:smartTag w:uri="urn:schemas-microsoft-com:office:smarttags" w:element="Street">
        <w:smartTag w:uri="urn:schemas-microsoft-com:office:smarttags" w:element="address">
          <w:r>
            <w:t>Athens Highway</w:t>
          </w:r>
        </w:smartTag>
      </w:smartTag>
      <w:r>
        <w:t xml:space="preserve"> as well as the</w:t>
      </w:r>
      <w:r w:rsidR="008E1217">
        <w:t xml:space="preserve"> Berlin Turnpike.’  </w:t>
      </w:r>
      <w:proofErr w:type="spellStart"/>
      <w:proofErr w:type="gramStart"/>
      <w:r w:rsidR="008E1217">
        <w:t>Qtd</w:t>
      </w:r>
      <w:proofErr w:type="spellEnd"/>
      <w:r w:rsidR="008E1217">
        <w:t xml:space="preserve">. Banks, </w:t>
      </w:r>
      <w:r>
        <w:t>77 (footnote)</w:t>
      </w:r>
      <w:r w:rsidR="008E1217">
        <w:t>.</w:t>
      </w:r>
      <w:proofErr w:type="gramEnd"/>
    </w:p>
  </w:footnote>
  <w:footnote w:id="43">
    <w:p w:rsidR="004C420B" w:rsidRPr="00214CF3" w:rsidRDefault="004C420B" w:rsidP="00522ACB">
      <w:pPr>
        <w:pStyle w:val="FootnoteText"/>
        <w:rPr>
          <w:i/>
        </w:rPr>
      </w:pPr>
      <w:r>
        <w:rPr>
          <w:rStyle w:val="FootnoteReference"/>
        </w:rPr>
        <w:footnoteRef/>
      </w:r>
      <w:r>
        <w:t xml:space="preserve"> </w:t>
      </w:r>
      <w:proofErr w:type="gramStart"/>
      <w:r>
        <w:t xml:space="preserve">Palmer, </w:t>
      </w:r>
      <w:r w:rsidR="008E1217">
        <w:t>71ff.</w:t>
      </w:r>
      <w:proofErr w:type="gramEnd"/>
    </w:p>
  </w:footnote>
  <w:footnote w:id="44">
    <w:p w:rsidR="004C420B" w:rsidRDefault="004C420B" w:rsidP="00522ACB">
      <w:pPr>
        <w:pStyle w:val="FootnoteText"/>
      </w:pPr>
      <w:r>
        <w:rPr>
          <w:rStyle w:val="FootnoteReference"/>
        </w:rPr>
        <w:footnoteRef/>
      </w:r>
      <w:r w:rsidR="008E1217">
        <w:t xml:space="preserve"> See Banks, </w:t>
      </w:r>
      <w:r>
        <w:t>142-144</w:t>
      </w:r>
      <w:r w:rsidR="008E1217">
        <w:t>.</w:t>
      </w:r>
    </w:p>
  </w:footnote>
  <w:footnote w:id="45">
    <w:p w:rsidR="004C420B" w:rsidRPr="00214CF3" w:rsidRDefault="004C420B" w:rsidP="00522ACB">
      <w:pPr>
        <w:pStyle w:val="FootnoteText"/>
      </w:pPr>
      <w:r>
        <w:rPr>
          <w:rStyle w:val="FootnoteReference"/>
        </w:rPr>
        <w:footnoteRef/>
      </w:r>
      <w:r w:rsidR="008E1217">
        <w:t xml:space="preserve"> </w:t>
      </w:r>
      <w:proofErr w:type="gramStart"/>
      <w:r w:rsidR="008E1217">
        <w:t>Kelsey,</w:t>
      </w:r>
      <w:r>
        <w:t xml:space="preserve"> 6</w:t>
      </w:r>
      <w:r w:rsidR="008E1217">
        <w:t>.</w:t>
      </w:r>
      <w:proofErr w:type="gramEnd"/>
    </w:p>
  </w:footnote>
  <w:footnote w:id="46">
    <w:p w:rsidR="004C420B" w:rsidRPr="008028F4" w:rsidRDefault="004C420B" w:rsidP="00522ACB">
      <w:pPr>
        <w:pStyle w:val="FootnoteText"/>
        <w:rPr>
          <w:lang w:val="en-US"/>
        </w:rPr>
      </w:pPr>
      <w:r>
        <w:rPr>
          <w:rStyle w:val="FootnoteReference"/>
        </w:rPr>
        <w:footnoteRef/>
      </w:r>
      <w:r>
        <w:t xml:space="preserve"> </w:t>
      </w:r>
      <w:r w:rsidR="008E1217">
        <w:rPr>
          <w:lang w:val="en-US"/>
        </w:rPr>
        <w:t xml:space="preserve">Sylvia </w:t>
      </w:r>
      <w:proofErr w:type="spellStart"/>
      <w:r w:rsidR="008E1217">
        <w:rPr>
          <w:lang w:val="en-US"/>
        </w:rPr>
        <w:t>Wilkey</w:t>
      </w:r>
      <w:proofErr w:type="spellEnd"/>
      <w:r>
        <w:rPr>
          <w:lang w:val="en-US"/>
        </w:rPr>
        <w:t xml:space="preserve"> </w:t>
      </w:r>
      <w:proofErr w:type="spellStart"/>
      <w:r>
        <w:rPr>
          <w:lang w:val="en-US"/>
        </w:rPr>
        <w:t>Collinson</w:t>
      </w:r>
      <w:proofErr w:type="spellEnd"/>
      <w:r>
        <w:rPr>
          <w:lang w:val="en-US"/>
        </w:rPr>
        <w:t>,</w:t>
      </w:r>
      <w:r w:rsidR="008E1217">
        <w:rPr>
          <w:lang w:val="en-US"/>
        </w:rPr>
        <w:t xml:space="preserve"> </w:t>
      </w:r>
      <w:r w:rsidR="008E1217">
        <w:rPr>
          <w:i/>
          <w:lang w:val="en-US"/>
        </w:rPr>
        <w:t xml:space="preserve">Making Disciples: The Significance of Jesus’ Education Methods for Today’s Church </w:t>
      </w:r>
      <w:r w:rsidR="008E1217">
        <w:rPr>
          <w:lang w:val="en-US"/>
        </w:rPr>
        <w:t>(Milton Keynes, UK: Paternoster, 2004),</w:t>
      </w:r>
      <w:r>
        <w:rPr>
          <w:lang w:val="en-US"/>
        </w:rPr>
        <w:t xml:space="preserve"> 244</w:t>
      </w:r>
      <w:r w:rsidR="008E1217">
        <w:rPr>
          <w:lang w:val="en-US"/>
        </w:rPr>
        <w:t>.</w:t>
      </w:r>
    </w:p>
  </w:footnote>
  <w:footnote w:id="47">
    <w:p w:rsidR="004C420B" w:rsidRDefault="004C420B" w:rsidP="00522ACB">
      <w:pPr>
        <w:pStyle w:val="FootnoteText"/>
      </w:pPr>
      <w:r>
        <w:rPr>
          <w:rStyle w:val="FootnoteReference"/>
        </w:rPr>
        <w:footnoteRef/>
      </w:r>
      <w:r>
        <w:t xml:space="preserve"> </w:t>
      </w:r>
      <w:proofErr w:type="gramStart"/>
      <w:r>
        <w:t>Kirk</w:t>
      </w:r>
      <w:r w:rsidR="008E1217">
        <w:t>,</w:t>
      </w:r>
      <w:r>
        <w:t xml:space="preserve"> 23</w:t>
      </w:r>
      <w:r w:rsidR="008E1217">
        <w:t>.</w:t>
      </w:r>
      <w:proofErr w:type="gramEnd"/>
    </w:p>
  </w:footnote>
  <w:footnote w:id="48">
    <w:p w:rsidR="004C420B" w:rsidRDefault="004C420B" w:rsidP="00522ACB">
      <w:pPr>
        <w:pStyle w:val="FootnoteText"/>
      </w:pPr>
      <w:r>
        <w:rPr>
          <w:rStyle w:val="FootnoteReference"/>
        </w:rPr>
        <w:footnoteRef/>
      </w:r>
      <w:r w:rsidR="008E1217">
        <w:t xml:space="preserve"> </w:t>
      </w:r>
      <w:proofErr w:type="spellStart"/>
      <w:proofErr w:type="gramStart"/>
      <w:r w:rsidR="008E1217">
        <w:t>Schner</w:t>
      </w:r>
      <w:proofErr w:type="spellEnd"/>
      <w:r w:rsidR="008E1217">
        <w:t>,</w:t>
      </w:r>
      <w:r>
        <w:t xml:space="preserve"> 95</w:t>
      </w:r>
      <w:r w:rsidR="008E1217">
        <w:t>.</w:t>
      </w:r>
      <w:proofErr w:type="gramEnd"/>
    </w:p>
  </w:footnote>
  <w:footnote w:id="49">
    <w:p w:rsidR="004C420B" w:rsidRDefault="004C420B" w:rsidP="00522ACB">
      <w:pPr>
        <w:pStyle w:val="FootnoteText"/>
      </w:pPr>
      <w:r>
        <w:rPr>
          <w:rStyle w:val="FootnoteReference"/>
        </w:rPr>
        <w:footnoteRef/>
      </w:r>
      <w:r w:rsidR="008E1217">
        <w:t xml:space="preserve"> </w:t>
      </w:r>
      <w:proofErr w:type="gramStart"/>
      <w:r w:rsidR="008E1217">
        <w:t xml:space="preserve">PDV, </w:t>
      </w:r>
      <w:r>
        <w:t>116</w:t>
      </w:r>
      <w:r w:rsidR="008E1217">
        <w:t>.</w:t>
      </w:r>
      <w:proofErr w:type="gramEnd"/>
    </w:p>
  </w:footnote>
  <w:footnote w:id="50">
    <w:p w:rsidR="004C420B" w:rsidRDefault="004C420B" w:rsidP="00522ACB">
      <w:pPr>
        <w:pStyle w:val="FootnoteText"/>
      </w:pPr>
      <w:r>
        <w:rPr>
          <w:rStyle w:val="FootnoteReference"/>
        </w:rPr>
        <w:footnoteRef/>
      </w:r>
      <w:r w:rsidR="008E1217">
        <w:t xml:space="preserve"> </w:t>
      </w:r>
      <w:proofErr w:type="gramStart"/>
      <w:r w:rsidR="008E1217">
        <w:t xml:space="preserve">Ibid, </w:t>
      </w:r>
      <w:r>
        <w:t>113</w:t>
      </w:r>
      <w:r w:rsidR="008E1217">
        <w:t>.</w:t>
      </w:r>
      <w:proofErr w:type="gramEnd"/>
    </w:p>
  </w:footnote>
  <w:footnote w:id="51">
    <w:p w:rsidR="004C420B" w:rsidRDefault="004C420B" w:rsidP="002E4EE7">
      <w:pPr>
        <w:pStyle w:val="FootnoteText"/>
      </w:pPr>
      <w:r>
        <w:rPr>
          <w:rStyle w:val="FootnoteReference"/>
        </w:rPr>
        <w:footnoteRef/>
      </w:r>
      <w:r>
        <w:t xml:space="preserve"> Luke 24:27, author’s translation</w:t>
      </w:r>
    </w:p>
  </w:footnote>
  <w:footnote w:id="52">
    <w:p w:rsidR="004C420B" w:rsidRDefault="004C420B">
      <w:pPr>
        <w:pStyle w:val="FootnoteText"/>
      </w:pPr>
      <w:r>
        <w:rPr>
          <w:rStyle w:val="FootnoteReference"/>
        </w:rPr>
        <w:footnoteRef/>
      </w:r>
      <w:r>
        <w:t xml:space="preserve"> John 13:13, author’s translation</w:t>
      </w:r>
    </w:p>
  </w:footnote>
  <w:footnote w:id="53">
    <w:p w:rsidR="004C420B" w:rsidRDefault="004C420B">
      <w:pPr>
        <w:pStyle w:val="FootnoteText"/>
      </w:pPr>
      <w:r>
        <w:rPr>
          <w:rStyle w:val="FootnoteReference"/>
        </w:rPr>
        <w:footnoteRef/>
      </w:r>
      <w:r>
        <w:t xml:space="preserve"> Luke 24:15</w:t>
      </w:r>
    </w:p>
  </w:footnote>
  <w:footnote w:id="54">
    <w:p w:rsidR="004C420B" w:rsidRPr="00D4393E" w:rsidRDefault="004C420B">
      <w:pPr>
        <w:pStyle w:val="FootnoteText"/>
      </w:pPr>
      <w:r>
        <w:rPr>
          <w:rStyle w:val="FootnoteReference"/>
        </w:rPr>
        <w:footnoteRef/>
      </w:r>
      <w:r w:rsidR="008E1217">
        <w:t xml:space="preserve"> </w:t>
      </w:r>
      <w:proofErr w:type="spellStart"/>
      <w:proofErr w:type="gramStart"/>
      <w:r w:rsidR="008E1217">
        <w:t>Nouwen</w:t>
      </w:r>
      <w:proofErr w:type="spellEnd"/>
      <w:r w:rsidR="008E1217">
        <w:t xml:space="preserve">, </w:t>
      </w:r>
      <w:r>
        <w:t>100</w:t>
      </w:r>
      <w:r w:rsidR="008E1217">
        <w:t>.</w:t>
      </w:r>
      <w:proofErr w:type="gramEnd"/>
    </w:p>
  </w:footnote>
  <w:footnote w:id="55">
    <w:p w:rsidR="004C420B" w:rsidRDefault="004C420B">
      <w:pPr>
        <w:pStyle w:val="FootnoteText"/>
      </w:pPr>
      <w:r>
        <w:rPr>
          <w:rStyle w:val="FootnoteReference"/>
        </w:rPr>
        <w:footnoteRef/>
      </w:r>
      <w:r w:rsidR="008E1217">
        <w:t xml:space="preserve"> </w:t>
      </w:r>
      <w:proofErr w:type="gramStart"/>
      <w:r w:rsidR="008E1217">
        <w:t xml:space="preserve">Kirk, </w:t>
      </w:r>
      <w:r>
        <w:t>27</w:t>
      </w:r>
      <w:r w:rsidR="008E1217">
        <w:t>.</w:t>
      </w:r>
      <w:proofErr w:type="gramEnd"/>
    </w:p>
  </w:footnote>
  <w:footnote w:id="56">
    <w:p w:rsidR="004C420B" w:rsidRPr="00706383" w:rsidRDefault="004C420B">
      <w:pPr>
        <w:pStyle w:val="FootnoteText"/>
      </w:pPr>
      <w:r>
        <w:rPr>
          <w:rStyle w:val="FootnoteReference"/>
        </w:rPr>
        <w:footnoteRef/>
      </w:r>
      <w:r>
        <w:t xml:space="preserve"> </w:t>
      </w:r>
      <w:proofErr w:type="gramStart"/>
      <w:r>
        <w:t>Banks, 172.</w:t>
      </w:r>
      <w:proofErr w:type="gramEnd"/>
    </w:p>
  </w:footnote>
  <w:footnote w:id="57">
    <w:p w:rsidR="004C420B" w:rsidRDefault="004C420B">
      <w:pPr>
        <w:pStyle w:val="FootnoteText"/>
      </w:pPr>
      <w:r>
        <w:rPr>
          <w:rStyle w:val="FootnoteReference"/>
        </w:rPr>
        <w:footnoteRef/>
      </w:r>
      <w:r>
        <w:t xml:space="preserve"> </w:t>
      </w:r>
      <w:r w:rsidR="008E1217">
        <w:t>Cf. 1 Corinthians 11:1</w:t>
      </w:r>
    </w:p>
  </w:footnote>
  <w:footnote w:id="58">
    <w:p w:rsidR="004C420B" w:rsidRPr="00795CC4" w:rsidRDefault="004C420B" w:rsidP="002B23EA">
      <w:pPr>
        <w:pStyle w:val="FootnoteText"/>
      </w:pPr>
      <w:r>
        <w:rPr>
          <w:rStyle w:val="FootnoteReference"/>
        </w:rPr>
        <w:footnoteRef/>
      </w:r>
      <w:r>
        <w:t xml:space="preserve"> Banks, 174</w:t>
      </w:r>
    </w:p>
  </w:footnote>
  <w:footnote w:id="59">
    <w:p w:rsidR="004C420B" w:rsidRDefault="004C420B" w:rsidP="002B23EA">
      <w:pPr>
        <w:pStyle w:val="FootnoteText"/>
      </w:pPr>
      <w:r>
        <w:rPr>
          <w:rStyle w:val="FootnoteReference"/>
        </w:rPr>
        <w:footnoteRef/>
      </w:r>
      <w:r w:rsidR="008E1217">
        <w:t xml:space="preserve"> </w:t>
      </w:r>
      <w:proofErr w:type="gramStart"/>
      <w:r w:rsidR="008E1217">
        <w:t xml:space="preserve">Ibid, </w:t>
      </w:r>
      <w:r>
        <w:t>90.</w:t>
      </w:r>
      <w:proofErr w:type="gramEnd"/>
    </w:p>
  </w:footnote>
  <w:footnote w:id="60">
    <w:p w:rsidR="008E1217" w:rsidRPr="008E1217" w:rsidRDefault="008E1217">
      <w:pPr>
        <w:pStyle w:val="FootnoteText"/>
        <w:rPr>
          <w:lang w:val="en-US"/>
        </w:rPr>
      </w:pPr>
      <w:r>
        <w:rPr>
          <w:rStyle w:val="FootnoteReference"/>
        </w:rPr>
        <w:footnoteRef/>
      </w:r>
      <w:r>
        <w:t xml:space="preserve"> </w:t>
      </w:r>
      <w:proofErr w:type="gramStart"/>
      <w:r>
        <w:rPr>
          <w:lang w:val="en-US"/>
        </w:rPr>
        <w:t>Palmer, 16.</w:t>
      </w:r>
      <w:proofErr w:type="gramEnd"/>
    </w:p>
  </w:footnote>
  <w:footnote w:id="61">
    <w:p w:rsidR="004C420B" w:rsidRPr="00760EDF" w:rsidRDefault="004C420B">
      <w:pPr>
        <w:pStyle w:val="FootnoteText"/>
      </w:pPr>
      <w:r>
        <w:rPr>
          <w:rStyle w:val="FootnoteReference"/>
        </w:rPr>
        <w:footnoteRef/>
      </w:r>
      <w:r w:rsidR="008E1217">
        <w:t xml:space="preserve"> See Palmer, </w:t>
      </w:r>
      <w:r>
        <w:t>8ff</w:t>
      </w:r>
      <w:r w:rsidR="008E1217">
        <w:t>.</w:t>
      </w:r>
    </w:p>
  </w:footnote>
  <w:footnote w:id="62">
    <w:p w:rsidR="004C420B" w:rsidRDefault="004C420B">
      <w:pPr>
        <w:pStyle w:val="FootnoteText"/>
      </w:pPr>
      <w:r>
        <w:rPr>
          <w:rStyle w:val="FootnoteReference"/>
        </w:rPr>
        <w:footnoteRef/>
      </w:r>
      <w:r w:rsidR="008E1217">
        <w:t xml:space="preserve"> </w:t>
      </w:r>
      <w:proofErr w:type="gramStart"/>
      <w:r w:rsidR="008E1217">
        <w:t xml:space="preserve">Ibid, </w:t>
      </w:r>
      <w:r>
        <w:t>10</w:t>
      </w:r>
      <w:r w:rsidR="008E1217">
        <w:t>.</w:t>
      </w:r>
      <w:proofErr w:type="gramEnd"/>
    </w:p>
  </w:footnote>
  <w:footnote w:id="63">
    <w:p w:rsidR="004C420B" w:rsidRDefault="004C420B">
      <w:pPr>
        <w:pStyle w:val="FootnoteText"/>
      </w:pPr>
      <w:r>
        <w:rPr>
          <w:rStyle w:val="FootnoteReference"/>
        </w:rPr>
        <w:footnoteRef/>
      </w:r>
      <w:r w:rsidR="008E1217">
        <w:t xml:space="preserve"> </w:t>
      </w:r>
      <w:proofErr w:type="gramStart"/>
      <w:r w:rsidR="008E1217">
        <w:t xml:space="preserve">Kirk, </w:t>
      </w:r>
      <w:r>
        <w:t>28</w:t>
      </w:r>
      <w:r w:rsidR="008E1217">
        <w:t>.</w:t>
      </w:r>
      <w:proofErr w:type="gramEnd"/>
    </w:p>
  </w:footnote>
  <w:footnote w:id="64">
    <w:p w:rsidR="004C420B" w:rsidRDefault="004C420B">
      <w:pPr>
        <w:pStyle w:val="FootnoteText"/>
      </w:pPr>
      <w:r>
        <w:rPr>
          <w:rStyle w:val="FootnoteReference"/>
        </w:rPr>
        <w:footnoteRef/>
      </w:r>
      <w:r>
        <w:t xml:space="preserve"> Cheesman, ‘Conversation’, </w:t>
      </w:r>
      <w:proofErr w:type="spellStart"/>
      <w:r>
        <w:t>n.p</w:t>
      </w:r>
      <w:proofErr w:type="spellEnd"/>
      <w:r>
        <w:t>.</w:t>
      </w:r>
    </w:p>
  </w:footnote>
  <w:footnote w:id="65">
    <w:p w:rsidR="008E1217" w:rsidRPr="008E1217" w:rsidRDefault="008E1217" w:rsidP="008E1217">
      <w:pPr>
        <w:pStyle w:val="FootnoteText"/>
        <w:rPr>
          <w:i/>
        </w:rPr>
      </w:pPr>
      <w:r>
        <w:rPr>
          <w:rStyle w:val="FootnoteReference"/>
        </w:rPr>
        <w:footnoteRef/>
      </w:r>
      <w:r>
        <w:t xml:space="preserve"> </w:t>
      </w:r>
      <w:proofErr w:type="gramStart"/>
      <w:r>
        <w:t>The Brothers and Sisters of Charity, “Monastic Life,” http://www.littleportion.org/Vocation/index.asp?id=52 (Accessed 24 October 2008).</w:t>
      </w:r>
      <w:proofErr w:type="gramEnd"/>
      <w:r>
        <w:t xml:space="preserve">  The following discussion of monasticism relies on this site as a model.</w:t>
      </w:r>
    </w:p>
  </w:footnote>
  <w:footnote w:id="66">
    <w:p w:rsidR="004C420B" w:rsidRDefault="004C420B" w:rsidP="00EC3A18">
      <w:pPr>
        <w:pStyle w:val="FootnoteText"/>
      </w:pPr>
      <w:r>
        <w:rPr>
          <w:rStyle w:val="FootnoteReference"/>
        </w:rPr>
        <w:footnoteRef/>
      </w:r>
      <w:r w:rsidR="008E1217">
        <w:t xml:space="preserve"> PDV</w:t>
      </w:r>
      <w:proofErr w:type="gramStart"/>
      <w:r w:rsidR="008E1217">
        <w:t>,</w:t>
      </w:r>
      <w:r>
        <w:t>113</w:t>
      </w:r>
      <w:proofErr w:type="gramEnd"/>
      <w:r w:rsidR="008E1217">
        <w:t>.</w:t>
      </w:r>
    </w:p>
  </w:footnote>
  <w:footnote w:id="67">
    <w:p w:rsidR="004C420B" w:rsidRDefault="004C420B">
      <w:pPr>
        <w:pStyle w:val="FootnoteText"/>
      </w:pPr>
      <w:r>
        <w:rPr>
          <w:rStyle w:val="FootnoteReference"/>
        </w:rPr>
        <w:footnoteRef/>
      </w:r>
      <w:r w:rsidR="008E1217">
        <w:t xml:space="preserve"> </w:t>
      </w:r>
      <w:proofErr w:type="gramStart"/>
      <w:r w:rsidR="008E1217">
        <w:t>Banks,</w:t>
      </w:r>
      <w:r>
        <w:t xml:space="preserve"> 157</w:t>
      </w:r>
      <w:r w:rsidR="008E1217">
        <w:t>.</w:t>
      </w:r>
      <w:proofErr w:type="gramEnd"/>
    </w:p>
  </w:footnote>
  <w:footnote w:id="68">
    <w:p w:rsidR="004C420B" w:rsidRDefault="004C420B" w:rsidP="005C18F1">
      <w:pPr>
        <w:pStyle w:val="FootnoteText"/>
      </w:pPr>
      <w:r>
        <w:rPr>
          <w:rStyle w:val="FootnoteReference"/>
        </w:rPr>
        <w:footnoteRef/>
      </w:r>
      <w:r>
        <w:t xml:space="preserve"> Luke 24:30-31, author’s translation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C62" w:rsidRPr="008A2C62" w:rsidRDefault="008A2C62">
    <w:pPr>
      <w:pStyle w:val="Header"/>
      <w:jc w:val="right"/>
      <w:rPr>
        <w:sz w:val="22"/>
        <w:szCs w:val="22"/>
      </w:rPr>
    </w:pPr>
    <w:proofErr w:type="spellStart"/>
    <w:r w:rsidRPr="008A2C62">
      <w:rPr>
        <w:sz w:val="22"/>
        <w:szCs w:val="22"/>
      </w:rPr>
      <w:t>Pazdziora</w:t>
    </w:r>
    <w:proofErr w:type="spellEnd"/>
    <w:r w:rsidRPr="008A2C62">
      <w:rPr>
        <w:sz w:val="22"/>
        <w:szCs w:val="22"/>
      </w:rPr>
      <w:t xml:space="preserve"> </w:t>
    </w:r>
    <w:sdt>
      <w:sdtPr>
        <w:rPr>
          <w:sz w:val="22"/>
          <w:szCs w:val="22"/>
        </w:rPr>
        <w:id w:val="1837149182"/>
        <w:docPartObj>
          <w:docPartGallery w:val="Page Numbers (Top of Page)"/>
          <w:docPartUnique/>
        </w:docPartObj>
      </w:sdtPr>
      <w:sdtEndPr/>
      <w:sdtContent>
        <w:r w:rsidRPr="008A2C62">
          <w:rPr>
            <w:sz w:val="22"/>
            <w:szCs w:val="22"/>
          </w:rPr>
          <w:fldChar w:fldCharType="begin"/>
        </w:r>
        <w:r w:rsidRPr="008A2C62">
          <w:rPr>
            <w:sz w:val="22"/>
            <w:szCs w:val="22"/>
          </w:rPr>
          <w:instrText xml:space="preserve"> PAGE   \* MERGEFORMAT </w:instrText>
        </w:r>
        <w:r w:rsidRPr="008A2C62">
          <w:rPr>
            <w:sz w:val="22"/>
            <w:szCs w:val="22"/>
          </w:rPr>
          <w:fldChar w:fldCharType="separate"/>
        </w:r>
        <w:r w:rsidR="00A37E98">
          <w:rPr>
            <w:noProof/>
            <w:sz w:val="22"/>
            <w:szCs w:val="22"/>
          </w:rPr>
          <w:t>17</w:t>
        </w:r>
        <w:r w:rsidRPr="008A2C62">
          <w:rPr>
            <w:sz w:val="22"/>
            <w:szCs w:val="22"/>
          </w:rPr>
          <w:fldChar w:fldCharType="end"/>
        </w:r>
      </w:sdtContent>
    </w:sdt>
  </w:p>
  <w:p w:rsidR="004C420B" w:rsidRPr="008A2C62" w:rsidRDefault="004C420B">
    <w:pPr>
      <w:pStyle w:val="Header"/>
      <w:rPr>
        <w:sz w:val="22"/>
        <w:szCs w:val="22"/>
      </w:rPr>
    </w:pPr>
  </w:p>
  <w:p w:rsidR="004C420B" w:rsidRDefault="004C420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0B5"/>
    <w:rsid w:val="000010DD"/>
    <w:rsid w:val="000051C8"/>
    <w:rsid w:val="000075BC"/>
    <w:rsid w:val="00012BA0"/>
    <w:rsid w:val="0001304C"/>
    <w:rsid w:val="00014DB2"/>
    <w:rsid w:val="00020D65"/>
    <w:rsid w:val="000227C1"/>
    <w:rsid w:val="00022D1B"/>
    <w:rsid w:val="00024F5D"/>
    <w:rsid w:val="000258FF"/>
    <w:rsid w:val="00026093"/>
    <w:rsid w:val="00027C49"/>
    <w:rsid w:val="000330A2"/>
    <w:rsid w:val="00037E8A"/>
    <w:rsid w:val="000443A4"/>
    <w:rsid w:val="00044C63"/>
    <w:rsid w:val="00046666"/>
    <w:rsid w:val="000473CA"/>
    <w:rsid w:val="00055B5F"/>
    <w:rsid w:val="0006061A"/>
    <w:rsid w:val="00060CEA"/>
    <w:rsid w:val="0007226E"/>
    <w:rsid w:val="00072435"/>
    <w:rsid w:val="000768CD"/>
    <w:rsid w:val="00081FC0"/>
    <w:rsid w:val="0009135F"/>
    <w:rsid w:val="0009240A"/>
    <w:rsid w:val="00094B0C"/>
    <w:rsid w:val="00094E12"/>
    <w:rsid w:val="0009547A"/>
    <w:rsid w:val="00096AB0"/>
    <w:rsid w:val="00096D55"/>
    <w:rsid w:val="000A0DA2"/>
    <w:rsid w:val="000A25C0"/>
    <w:rsid w:val="000A4B7B"/>
    <w:rsid w:val="000B1569"/>
    <w:rsid w:val="000B1C8B"/>
    <w:rsid w:val="000B3E02"/>
    <w:rsid w:val="000B7C9D"/>
    <w:rsid w:val="000C48E7"/>
    <w:rsid w:val="000C49FD"/>
    <w:rsid w:val="000C54D9"/>
    <w:rsid w:val="000C5977"/>
    <w:rsid w:val="000C5CA9"/>
    <w:rsid w:val="000C7A11"/>
    <w:rsid w:val="000D05E1"/>
    <w:rsid w:val="000D14BE"/>
    <w:rsid w:val="000E26F2"/>
    <w:rsid w:val="000E2BB7"/>
    <w:rsid w:val="000E2E2D"/>
    <w:rsid w:val="000E6E71"/>
    <w:rsid w:val="000E78AB"/>
    <w:rsid w:val="000F2AA7"/>
    <w:rsid w:val="000F3ECD"/>
    <w:rsid w:val="000F49CF"/>
    <w:rsid w:val="000F6D76"/>
    <w:rsid w:val="000F76A9"/>
    <w:rsid w:val="000F7A75"/>
    <w:rsid w:val="00101105"/>
    <w:rsid w:val="0010221A"/>
    <w:rsid w:val="00105E9C"/>
    <w:rsid w:val="001072E7"/>
    <w:rsid w:val="0011022C"/>
    <w:rsid w:val="00110FD8"/>
    <w:rsid w:val="00115D8F"/>
    <w:rsid w:val="00122985"/>
    <w:rsid w:val="001313BE"/>
    <w:rsid w:val="00132E02"/>
    <w:rsid w:val="00133015"/>
    <w:rsid w:val="0013466C"/>
    <w:rsid w:val="00140B9F"/>
    <w:rsid w:val="001410E1"/>
    <w:rsid w:val="001411AB"/>
    <w:rsid w:val="001448E9"/>
    <w:rsid w:val="001451A2"/>
    <w:rsid w:val="001516E5"/>
    <w:rsid w:val="00153DA8"/>
    <w:rsid w:val="00154564"/>
    <w:rsid w:val="0015629D"/>
    <w:rsid w:val="00160E42"/>
    <w:rsid w:val="0016151B"/>
    <w:rsid w:val="001631D7"/>
    <w:rsid w:val="00163750"/>
    <w:rsid w:val="00164D45"/>
    <w:rsid w:val="001651CA"/>
    <w:rsid w:val="00170161"/>
    <w:rsid w:val="00172860"/>
    <w:rsid w:val="00175A8F"/>
    <w:rsid w:val="001763DF"/>
    <w:rsid w:val="00177E76"/>
    <w:rsid w:val="00184570"/>
    <w:rsid w:val="00186ABE"/>
    <w:rsid w:val="001903C0"/>
    <w:rsid w:val="00194423"/>
    <w:rsid w:val="00195361"/>
    <w:rsid w:val="001A4B9E"/>
    <w:rsid w:val="001A588C"/>
    <w:rsid w:val="001B53EE"/>
    <w:rsid w:val="001B7401"/>
    <w:rsid w:val="001B775A"/>
    <w:rsid w:val="001C0604"/>
    <w:rsid w:val="001C156F"/>
    <w:rsid w:val="001C15F2"/>
    <w:rsid w:val="001C3BAB"/>
    <w:rsid w:val="001D1644"/>
    <w:rsid w:val="001D328C"/>
    <w:rsid w:val="001D42CC"/>
    <w:rsid w:val="001D44E9"/>
    <w:rsid w:val="001D4E84"/>
    <w:rsid w:val="001D55C8"/>
    <w:rsid w:val="001D5825"/>
    <w:rsid w:val="001D66BF"/>
    <w:rsid w:val="001D69F9"/>
    <w:rsid w:val="001D6B39"/>
    <w:rsid w:val="001D6C97"/>
    <w:rsid w:val="001E01EF"/>
    <w:rsid w:val="001E0478"/>
    <w:rsid w:val="001E17EA"/>
    <w:rsid w:val="001E231B"/>
    <w:rsid w:val="001E291E"/>
    <w:rsid w:val="001E4950"/>
    <w:rsid w:val="001F0196"/>
    <w:rsid w:val="001F1E5E"/>
    <w:rsid w:val="001F304D"/>
    <w:rsid w:val="0020224A"/>
    <w:rsid w:val="00205113"/>
    <w:rsid w:val="00206E05"/>
    <w:rsid w:val="0020754F"/>
    <w:rsid w:val="00211E0A"/>
    <w:rsid w:val="00214CF3"/>
    <w:rsid w:val="00215E97"/>
    <w:rsid w:val="00216623"/>
    <w:rsid w:val="00216D6E"/>
    <w:rsid w:val="00217CBF"/>
    <w:rsid w:val="00224D2B"/>
    <w:rsid w:val="00226797"/>
    <w:rsid w:val="00227729"/>
    <w:rsid w:val="0023323B"/>
    <w:rsid w:val="00237BC1"/>
    <w:rsid w:val="00240337"/>
    <w:rsid w:val="00246CFF"/>
    <w:rsid w:val="00247B16"/>
    <w:rsid w:val="00250CEF"/>
    <w:rsid w:val="0026091E"/>
    <w:rsid w:val="00264555"/>
    <w:rsid w:val="00265CD4"/>
    <w:rsid w:val="002715BA"/>
    <w:rsid w:val="00277126"/>
    <w:rsid w:val="00280381"/>
    <w:rsid w:val="00282E8E"/>
    <w:rsid w:val="0028344F"/>
    <w:rsid w:val="0028427B"/>
    <w:rsid w:val="00284CCF"/>
    <w:rsid w:val="00285442"/>
    <w:rsid w:val="00285598"/>
    <w:rsid w:val="00286D2A"/>
    <w:rsid w:val="002878BE"/>
    <w:rsid w:val="002926EE"/>
    <w:rsid w:val="002943B4"/>
    <w:rsid w:val="002A3C2B"/>
    <w:rsid w:val="002A626B"/>
    <w:rsid w:val="002A6FEB"/>
    <w:rsid w:val="002B01EE"/>
    <w:rsid w:val="002B0C30"/>
    <w:rsid w:val="002B0E3B"/>
    <w:rsid w:val="002B23EA"/>
    <w:rsid w:val="002B6392"/>
    <w:rsid w:val="002C2360"/>
    <w:rsid w:val="002C31A9"/>
    <w:rsid w:val="002C693E"/>
    <w:rsid w:val="002D02F0"/>
    <w:rsid w:val="002D4A76"/>
    <w:rsid w:val="002D5E83"/>
    <w:rsid w:val="002E4EE7"/>
    <w:rsid w:val="002F09AD"/>
    <w:rsid w:val="002F3B07"/>
    <w:rsid w:val="002F6F89"/>
    <w:rsid w:val="0030075A"/>
    <w:rsid w:val="00300DA2"/>
    <w:rsid w:val="0030401C"/>
    <w:rsid w:val="003043F8"/>
    <w:rsid w:val="003057C7"/>
    <w:rsid w:val="003068DB"/>
    <w:rsid w:val="00307D04"/>
    <w:rsid w:val="0031063B"/>
    <w:rsid w:val="00314187"/>
    <w:rsid w:val="00314FC0"/>
    <w:rsid w:val="003164B9"/>
    <w:rsid w:val="00321509"/>
    <w:rsid w:val="00322912"/>
    <w:rsid w:val="00325090"/>
    <w:rsid w:val="00326C34"/>
    <w:rsid w:val="00327284"/>
    <w:rsid w:val="00327FE8"/>
    <w:rsid w:val="003310BA"/>
    <w:rsid w:val="00331116"/>
    <w:rsid w:val="003338D4"/>
    <w:rsid w:val="00333D59"/>
    <w:rsid w:val="00340C4D"/>
    <w:rsid w:val="00343620"/>
    <w:rsid w:val="00343B56"/>
    <w:rsid w:val="0034465A"/>
    <w:rsid w:val="00346674"/>
    <w:rsid w:val="003469CE"/>
    <w:rsid w:val="003476D6"/>
    <w:rsid w:val="0035250F"/>
    <w:rsid w:val="00352DD5"/>
    <w:rsid w:val="0035374E"/>
    <w:rsid w:val="00354C86"/>
    <w:rsid w:val="00354FCC"/>
    <w:rsid w:val="0035778A"/>
    <w:rsid w:val="00361904"/>
    <w:rsid w:val="00361B0F"/>
    <w:rsid w:val="00363D8A"/>
    <w:rsid w:val="00364A7A"/>
    <w:rsid w:val="00364C00"/>
    <w:rsid w:val="003657D0"/>
    <w:rsid w:val="00365843"/>
    <w:rsid w:val="003705ED"/>
    <w:rsid w:val="00375ABD"/>
    <w:rsid w:val="003800C1"/>
    <w:rsid w:val="00390555"/>
    <w:rsid w:val="00392E43"/>
    <w:rsid w:val="00395D9D"/>
    <w:rsid w:val="003A1D2D"/>
    <w:rsid w:val="003A32FD"/>
    <w:rsid w:val="003A3D4C"/>
    <w:rsid w:val="003A5040"/>
    <w:rsid w:val="003A7ADE"/>
    <w:rsid w:val="003B133D"/>
    <w:rsid w:val="003B1E5E"/>
    <w:rsid w:val="003B287A"/>
    <w:rsid w:val="003B29C8"/>
    <w:rsid w:val="003B2E83"/>
    <w:rsid w:val="003C12CC"/>
    <w:rsid w:val="003D600A"/>
    <w:rsid w:val="003D7C34"/>
    <w:rsid w:val="003E2880"/>
    <w:rsid w:val="003E2AED"/>
    <w:rsid w:val="003E2DBD"/>
    <w:rsid w:val="003E6C18"/>
    <w:rsid w:val="003E7B85"/>
    <w:rsid w:val="003F0E3E"/>
    <w:rsid w:val="003F2C23"/>
    <w:rsid w:val="003F3811"/>
    <w:rsid w:val="003F530F"/>
    <w:rsid w:val="003F686C"/>
    <w:rsid w:val="003F7414"/>
    <w:rsid w:val="003F76E5"/>
    <w:rsid w:val="003F7FFB"/>
    <w:rsid w:val="0040654E"/>
    <w:rsid w:val="00407468"/>
    <w:rsid w:val="00412229"/>
    <w:rsid w:val="00412EC8"/>
    <w:rsid w:val="00412EDA"/>
    <w:rsid w:val="004143F4"/>
    <w:rsid w:val="004213BA"/>
    <w:rsid w:val="00422B61"/>
    <w:rsid w:val="00423464"/>
    <w:rsid w:val="00424754"/>
    <w:rsid w:val="004248AB"/>
    <w:rsid w:val="00424B63"/>
    <w:rsid w:val="00427CB9"/>
    <w:rsid w:val="00432CFB"/>
    <w:rsid w:val="004371CC"/>
    <w:rsid w:val="004411B4"/>
    <w:rsid w:val="00442726"/>
    <w:rsid w:val="004427F6"/>
    <w:rsid w:val="00444E5C"/>
    <w:rsid w:val="004468F8"/>
    <w:rsid w:val="004503DC"/>
    <w:rsid w:val="00454A20"/>
    <w:rsid w:val="00455D26"/>
    <w:rsid w:val="00457462"/>
    <w:rsid w:val="00460991"/>
    <w:rsid w:val="00461E66"/>
    <w:rsid w:val="00463E22"/>
    <w:rsid w:val="00470DA7"/>
    <w:rsid w:val="00472EA0"/>
    <w:rsid w:val="00476B35"/>
    <w:rsid w:val="00476E35"/>
    <w:rsid w:val="00482504"/>
    <w:rsid w:val="0048288A"/>
    <w:rsid w:val="00484189"/>
    <w:rsid w:val="00485022"/>
    <w:rsid w:val="00490C34"/>
    <w:rsid w:val="00490F26"/>
    <w:rsid w:val="004917F2"/>
    <w:rsid w:val="00491D2A"/>
    <w:rsid w:val="0049325C"/>
    <w:rsid w:val="00493D89"/>
    <w:rsid w:val="00494990"/>
    <w:rsid w:val="00494AF8"/>
    <w:rsid w:val="004A19B8"/>
    <w:rsid w:val="004A1D5A"/>
    <w:rsid w:val="004A4586"/>
    <w:rsid w:val="004A65DA"/>
    <w:rsid w:val="004A7807"/>
    <w:rsid w:val="004B14BB"/>
    <w:rsid w:val="004B1EDD"/>
    <w:rsid w:val="004B2E11"/>
    <w:rsid w:val="004B3D74"/>
    <w:rsid w:val="004B5C5F"/>
    <w:rsid w:val="004B68FE"/>
    <w:rsid w:val="004B6B83"/>
    <w:rsid w:val="004C0FCC"/>
    <w:rsid w:val="004C14E6"/>
    <w:rsid w:val="004C28B0"/>
    <w:rsid w:val="004C420B"/>
    <w:rsid w:val="004C6B55"/>
    <w:rsid w:val="004C76A0"/>
    <w:rsid w:val="004C76C3"/>
    <w:rsid w:val="004D1BD2"/>
    <w:rsid w:val="004D1BFC"/>
    <w:rsid w:val="004D5137"/>
    <w:rsid w:val="004E21FF"/>
    <w:rsid w:val="004E3EB8"/>
    <w:rsid w:val="004E5965"/>
    <w:rsid w:val="004F1300"/>
    <w:rsid w:val="004F464A"/>
    <w:rsid w:val="004F584E"/>
    <w:rsid w:val="004F63DF"/>
    <w:rsid w:val="00500147"/>
    <w:rsid w:val="00503347"/>
    <w:rsid w:val="005075F2"/>
    <w:rsid w:val="00513233"/>
    <w:rsid w:val="0052099E"/>
    <w:rsid w:val="005215BE"/>
    <w:rsid w:val="005224EE"/>
    <w:rsid w:val="005225C8"/>
    <w:rsid w:val="00522ACB"/>
    <w:rsid w:val="00522C85"/>
    <w:rsid w:val="00525109"/>
    <w:rsid w:val="00527CF0"/>
    <w:rsid w:val="00532A5D"/>
    <w:rsid w:val="00534F48"/>
    <w:rsid w:val="0054105C"/>
    <w:rsid w:val="00541D57"/>
    <w:rsid w:val="0054288B"/>
    <w:rsid w:val="00553F42"/>
    <w:rsid w:val="00555080"/>
    <w:rsid w:val="00555384"/>
    <w:rsid w:val="00556621"/>
    <w:rsid w:val="00557251"/>
    <w:rsid w:val="00557DB3"/>
    <w:rsid w:val="0056042B"/>
    <w:rsid w:val="00565A0C"/>
    <w:rsid w:val="00566599"/>
    <w:rsid w:val="00566934"/>
    <w:rsid w:val="00566B76"/>
    <w:rsid w:val="005712EF"/>
    <w:rsid w:val="0057185C"/>
    <w:rsid w:val="00572057"/>
    <w:rsid w:val="00572F54"/>
    <w:rsid w:val="00573825"/>
    <w:rsid w:val="005757BC"/>
    <w:rsid w:val="00577473"/>
    <w:rsid w:val="005776FC"/>
    <w:rsid w:val="00577A38"/>
    <w:rsid w:val="00587F0B"/>
    <w:rsid w:val="00590CBB"/>
    <w:rsid w:val="0059216A"/>
    <w:rsid w:val="00592537"/>
    <w:rsid w:val="005A7612"/>
    <w:rsid w:val="005B23FA"/>
    <w:rsid w:val="005B51CC"/>
    <w:rsid w:val="005B5E4E"/>
    <w:rsid w:val="005C0178"/>
    <w:rsid w:val="005C05DC"/>
    <w:rsid w:val="005C18F1"/>
    <w:rsid w:val="005C5DB3"/>
    <w:rsid w:val="005C72BC"/>
    <w:rsid w:val="005D0106"/>
    <w:rsid w:val="005D22E4"/>
    <w:rsid w:val="005D2A7C"/>
    <w:rsid w:val="005D47F7"/>
    <w:rsid w:val="005D54C7"/>
    <w:rsid w:val="005D5CA0"/>
    <w:rsid w:val="005E275D"/>
    <w:rsid w:val="005E567E"/>
    <w:rsid w:val="005E65C4"/>
    <w:rsid w:val="005E7A9D"/>
    <w:rsid w:val="005F21F2"/>
    <w:rsid w:val="005F223F"/>
    <w:rsid w:val="005F26F3"/>
    <w:rsid w:val="005F40ED"/>
    <w:rsid w:val="005F5D9A"/>
    <w:rsid w:val="005F6BE2"/>
    <w:rsid w:val="00601110"/>
    <w:rsid w:val="006018BD"/>
    <w:rsid w:val="00602469"/>
    <w:rsid w:val="00604503"/>
    <w:rsid w:val="00607E31"/>
    <w:rsid w:val="006119CF"/>
    <w:rsid w:val="00614D0F"/>
    <w:rsid w:val="0061557C"/>
    <w:rsid w:val="00616EA4"/>
    <w:rsid w:val="006200F7"/>
    <w:rsid w:val="006203E4"/>
    <w:rsid w:val="006225A9"/>
    <w:rsid w:val="00625C52"/>
    <w:rsid w:val="00631A89"/>
    <w:rsid w:val="00633568"/>
    <w:rsid w:val="006350BA"/>
    <w:rsid w:val="00637179"/>
    <w:rsid w:val="00646BED"/>
    <w:rsid w:val="00647C22"/>
    <w:rsid w:val="00651BBB"/>
    <w:rsid w:val="00654311"/>
    <w:rsid w:val="00655F5B"/>
    <w:rsid w:val="006613E2"/>
    <w:rsid w:val="00665713"/>
    <w:rsid w:val="006731D0"/>
    <w:rsid w:val="00673B04"/>
    <w:rsid w:val="00676CE7"/>
    <w:rsid w:val="00683393"/>
    <w:rsid w:val="00686A03"/>
    <w:rsid w:val="00687C54"/>
    <w:rsid w:val="00691226"/>
    <w:rsid w:val="006A4D64"/>
    <w:rsid w:val="006A6CD3"/>
    <w:rsid w:val="006A777B"/>
    <w:rsid w:val="006B7815"/>
    <w:rsid w:val="006C1CAB"/>
    <w:rsid w:val="006C28B1"/>
    <w:rsid w:val="006D05C5"/>
    <w:rsid w:val="006D135B"/>
    <w:rsid w:val="006D2756"/>
    <w:rsid w:val="006D4C4E"/>
    <w:rsid w:val="006D6FB9"/>
    <w:rsid w:val="006E02F5"/>
    <w:rsid w:val="006E2153"/>
    <w:rsid w:val="006E4AF6"/>
    <w:rsid w:val="006F3E46"/>
    <w:rsid w:val="006F3ED8"/>
    <w:rsid w:val="006F48E2"/>
    <w:rsid w:val="007010A4"/>
    <w:rsid w:val="00701273"/>
    <w:rsid w:val="007020BD"/>
    <w:rsid w:val="00703103"/>
    <w:rsid w:val="0070364C"/>
    <w:rsid w:val="0070378C"/>
    <w:rsid w:val="00703FD2"/>
    <w:rsid w:val="00706383"/>
    <w:rsid w:val="007067AB"/>
    <w:rsid w:val="00707541"/>
    <w:rsid w:val="00712E21"/>
    <w:rsid w:val="00721B98"/>
    <w:rsid w:val="00722EE0"/>
    <w:rsid w:val="00730D41"/>
    <w:rsid w:val="00730DAC"/>
    <w:rsid w:val="00735CD5"/>
    <w:rsid w:val="0073654D"/>
    <w:rsid w:val="00737D31"/>
    <w:rsid w:val="00742449"/>
    <w:rsid w:val="007460EC"/>
    <w:rsid w:val="007469FB"/>
    <w:rsid w:val="00751014"/>
    <w:rsid w:val="00754F2D"/>
    <w:rsid w:val="00760EDF"/>
    <w:rsid w:val="007610AB"/>
    <w:rsid w:val="00762A68"/>
    <w:rsid w:val="00764652"/>
    <w:rsid w:val="00770E3E"/>
    <w:rsid w:val="00773E45"/>
    <w:rsid w:val="00774C32"/>
    <w:rsid w:val="0077565D"/>
    <w:rsid w:val="00776AD9"/>
    <w:rsid w:val="00776B40"/>
    <w:rsid w:val="0078104E"/>
    <w:rsid w:val="00781249"/>
    <w:rsid w:val="00781629"/>
    <w:rsid w:val="007816CF"/>
    <w:rsid w:val="00782797"/>
    <w:rsid w:val="00783C5A"/>
    <w:rsid w:val="007857DB"/>
    <w:rsid w:val="00785E4C"/>
    <w:rsid w:val="007910BD"/>
    <w:rsid w:val="0079143C"/>
    <w:rsid w:val="007944F1"/>
    <w:rsid w:val="00794BEE"/>
    <w:rsid w:val="00795281"/>
    <w:rsid w:val="00795CC4"/>
    <w:rsid w:val="00796A1C"/>
    <w:rsid w:val="007A334F"/>
    <w:rsid w:val="007A554F"/>
    <w:rsid w:val="007A61D9"/>
    <w:rsid w:val="007B02D6"/>
    <w:rsid w:val="007B4F16"/>
    <w:rsid w:val="007B58CC"/>
    <w:rsid w:val="007B6055"/>
    <w:rsid w:val="007C09BB"/>
    <w:rsid w:val="007C3CAE"/>
    <w:rsid w:val="007C42DD"/>
    <w:rsid w:val="007C7743"/>
    <w:rsid w:val="007C7EEF"/>
    <w:rsid w:val="007D2F81"/>
    <w:rsid w:val="007D76F8"/>
    <w:rsid w:val="007E16E3"/>
    <w:rsid w:val="007E5C56"/>
    <w:rsid w:val="007E6DB5"/>
    <w:rsid w:val="007E6E82"/>
    <w:rsid w:val="007E7FCE"/>
    <w:rsid w:val="007F17E4"/>
    <w:rsid w:val="007F427A"/>
    <w:rsid w:val="007F7743"/>
    <w:rsid w:val="00800B9E"/>
    <w:rsid w:val="008028F4"/>
    <w:rsid w:val="008048C5"/>
    <w:rsid w:val="0080492F"/>
    <w:rsid w:val="0080512B"/>
    <w:rsid w:val="0080558A"/>
    <w:rsid w:val="008119F9"/>
    <w:rsid w:val="008137EA"/>
    <w:rsid w:val="00813B40"/>
    <w:rsid w:val="008159E9"/>
    <w:rsid w:val="008176F5"/>
    <w:rsid w:val="00817D19"/>
    <w:rsid w:val="00817FCE"/>
    <w:rsid w:val="00827320"/>
    <w:rsid w:val="00827D41"/>
    <w:rsid w:val="00827EBB"/>
    <w:rsid w:val="00834A8E"/>
    <w:rsid w:val="00836905"/>
    <w:rsid w:val="008373A9"/>
    <w:rsid w:val="008378FC"/>
    <w:rsid w:val="00840DA1"/>
    <w:rsid w:val="00842B8E"/>
    <w:rsid w:val="00843374"/>
    <w:rsid w:val="0084425D"/>
    <w:rsid w:val="00844DBB"/>
    <w:rsid w:val="00852D57"/>
    <w:rsid w:val="008557C8"/>
    <w:rsid w:val="0085733B"/>
    <w:rsid w:val="008629D3"/>
    <w:rsid w:val="00862F54"/>
    <w:rsid w:val="00867F94"/>
    <w:rsid w:val="008718E0"/>
    <w:rsid w:val="00875BDC"/>
    <w:rsid w:val="008878C6"/>
    <w:rsid w:val="0089213A"/>
    <w:rsid w:val="00893C99"/>
    <w:rsid w:val="00896D9F"/>
    <w:rsid w:val="008A01C5"/>
    <w:rsid w:val="008A1E31"/>
    <w:rsid w:val="008A2C62"/>
    <w:rsid w:val="008A3551"/>
    <w:rsid w:val="008A3791"/>
    <w:rsid w:val="008A4910"/>
    <w:rsid w:val="008A4980"/>
    <w:rsid w:val="008A57C5"/>
    <w:rsid w:val="008A6188"/>
    <w:rsid w:val="008B0B23"/>
    <w:rsid w:val="008B2716"/>
    <w:rsid w:val="008B4B5A"/>
    <w:rsid w:val="008B4E06"/>
    <w:rsid w:val="008B6FFA"/>
    <w:rsid w:val="008C1B17"/>
    <w:rsid w:val="008C39F2"/>
    <w:rsid w:val="008C44EB"/>
    <w:rsid w:val="008C4506"/>
    <w:rsid w:val="008C4BF0"/>
    <w:rsid w:val="008C7AC6"/>
    <w:rsid w:val="008D47F1"/>
    <w:rsid w:val="008E1217"/>
    <w:rsid w:val="008E4E2B"/>
    <w:rsid w:val="008E54D8"/>
    <w:rsid w:val="008E6647"/>
    <w:rsid w:val="008F16FF"/>
    <w:rsid w:val="008F179D"/>
    <w:rsid w:val="008F20A3"/>
    <w:rsid w:val="008F64A7"/>
    <w:rsid w:val="008F778C"/>
    <w:rsid w:val="008F7D66"/>
    <w:rsid w:val="00907580"/>
    <w:rsid w:val="00907CFA"/>
    <w:rsid w:val="0091140A"/>
    <w:rsid w:val="00913217"/>
    <w:rsid w:val="00913AD2"/>
    <w:rsid w:val="00921A58"/>
    <w:rsid w:val="00923910"/>
    <w:rsid w:val="00923D78"/>
    <w:rsid w:val="009343D5"/>
    <w:rsid w:val="00935523"/>
    <w:rsid w:val="00937337"/>
    <w:rsid w:val="00937C29"/>
    <w:rsid w:val="00940567"/>
    <w:rsid w:val="00941332"/>
    <w:rsid w:val="00943440"/>
    <w:rsid w:val="009478F4"/>
    <w:rsid w:val="0095394F"/>
    <w:rsid w:val="0095505F"/>
    <w:rsid w:val="009559DB"/>
    <w:rsid w:val="00955C05"/>
    <w:rsid w:val="0095652E"/>
    <w:rsid w:val="00956C94"/>
    <w:rsid w:val="00960729"/>
    <w:rsid w:val="009638C2"/>
    <w:rsid w:val="009658FD"/>
    <w:rsid w:val="00965FDB"/>
    <w:rsid w:val="0097339D"/>
    <w:rsid w:val="009740C0"/>
    <w:rsid w:val="00977AB5"/>
    <w:rsid w:val="009837F2"/>
    <w:rsid w:val="00983A39"/>
    <w:rsid w:val="009844A3"/>
    <w:rsid w:val="00991195"/>
    <w:rsid w:val="00993FC3"/>
    <w:rsid w:val="009946B9"/>
    <w:rsid w:val="009975A0"/>
    <w:rsid w:val="00997AA4"/>
    <w:rsid w:val="009A0F9E"/>
    <w:rsid w:val="009A18A7"/>
    <w:rsid w:val="009A2EC1"/>
    <w:rsid w:val="009A31F1"/>
    <w:rsid w:val="009A3A7C"/>
    <w:rsid w:val="009A4582"/>
    <w:rsid w:val="009A5A80"/>
    <w:rsid w:val="009B4E53"/>
    <w:rsid w:val="009B5A29"/>
    <w:rsid w:val="009C07DE"/>
    <w:rsid w:val="009C1FCE"/>
    <w:rsid w:val="009C2A73"/>
    <w:rsid w:val="009C421A"/>
    <w:rsid w:val="009C5859"/>
    <w:rsid w:val="009C5F12"/>
    <w:rsid w:val="009C6796"/>
    <w:rsid w:val="009C785B"/>
    <w:rsid w:val="009D0CB1"/>
    <w:rsid w:val="009D16FE"/>
    <w:rsid w:val="009D43E7"/>
    <w:rsid w:val="009D47B0"/>
    <w:rsid w:val="009D5582"/>
    <w:rsid w:val="009D6534"/>
    <w:rsid w:val="009D7526"/>
    <w:rsid w:val="009E0297"/>
    <w:rsid w:val="009E047D"/>
    <w:rsid w:val="009E0B9F"/>
    <w:rsid w:val="009E2D89"/>
    <w:rsid w:val="009E2FCA"/>
    <w:rsid w:val="009E4BBA"/>
    <w:rsid w:val="009F2519"/>
    <w:rsid w:val="009F490F"/>
    <w:rsid w:val="009F7984"/>
    <w:rsid w:val="009F7F3F"/>
    <w:rsid w:val="00A03C46"/>
    <w:rsid w:val="00A0524A"/>
    <w:rsid w:val="00A05C72"/>
    <w:rsid w:val="00A05E02"/>
    <w:rsid w:val="00A10715"/>
    <w:rsid w:val="00A227E5"/>
    <w:rsid w:val="00A316D5"/>
    <w:rsid w:val="00A319E0"/>
    <w:rsid w:val="00A328B1"/>
    <w:rsid w:val="00A356AD"/>
    <w:rsid w:val="00A37709"/>
    <w:rsid w:val="00A37E98"/>
    <w:rsid w:val="00A413C3"/>
    <w:rsid w:val="00A43490"/>
    <w:rsid w:val="00A43AA2"/>
    <w:rsid w:val="00A45AA3"/>
    <w:rsid w:val="00A45E1E"/>
    <w:rsid w:val="00A46807"/>
    <w:rsid w:val="00A501EA"/>
    <w:rsid w:val="00A51139"/>
    <w:rsid w:val="00A52FA6"/>
    <w:rsid w:val="00A532BF"/>
    <w:rsid w:val="00A56FA8"/>
    <w:rsid w:val="00A57816"/>
    <w:rsid w:val="00A63B05"/>
    <w:rsid w:val="00A63FF5"/>
    <w:rsid w:val="00A656FD"/>
    <w:rsid w:val="00A6638F"/>
    <w:rsid w:val="00A667D3"/>
    <w:rsid w:val="00A679A8"/>
    <w:rsid w:val="00A70829"/>
    <w:rsid w:val="00A74452"/>
    <w:rsid w:val="00A82E1D"/>
    <w:rsid w:val="00A83831"/>
    <w:rsid w:val="00A857AF"/>
    <w:rsid w:val="00A870BD"/>
    <w:rsid w:val="00A874E7"/>
    <w:rsid w:val="00A94E97"/>
    <w:rsid w:val="00A95AA7"/>
    <w:rsid w:val="00A95E7B"/>
    <w:rsid w:val="00A96C67"/>
    <w:rsid w:val="00A971BF"/>
    <w:rsid w:val="00AA0C5A"/>
    <w:rsid w:val="00AA1F28"/>
    <w:rsid w:val="00AA2CF3"/>
    <w:rsid w:val="00AB07B9"/>
    <w:rsid w:val="00AB11F6"/>
    <w:rsid w:val="00AB12A1"/>
    <w:rsid w:val="00AB1607"/>
    <w:rsid w:val="00AB365B"/>
    <w:rsid w:val="00AB5F87"/>
    <w:rsid w:val="00AB6554"/>
    <w:rsid w:val="00AB65DD"/>
    <w:rsid w:val="00AB7664"/>
    <w:rsid w:val="00AB78E4"/>
    <w:rsid w:val="00AC461C"/>
    <w:rsid w:val="00AC787A"/>
    <w:rsid w:val="00AD1425"/>
    <w:rsid w:val="00AD4774"/>
    <w:rsid w:val="00AE07C5"/>
    <w:rsid w:val="00AE0EA8"/>
    <w:rsid w:val="00AE0ED8"/>
    <w:rsid w:val="00AE36EF"/>
    <w:rsid w:val="00AE3DB4"/>
    <w:rsid w:val="00AE3F03"/>
    <w:rsid w:val="00AE3F22"/>
    <w:rsid w:val="00AE5FC7"/>
    <w:rsid w:val="00AE67D8"/>
    <w:rsid w:val="00AF2600"/>
    <w:rsid w:val="00AF2976"/>
    <w:rsid w:val="00AF6A9A"/>
    <w:rsid w:val="00B00173"/>
    <w:rsid w:val="00B012C6"/>
    <w:rsid w:val="00B01C4F"/>
    <w:rsid w:val="00B02B27"/>
    <w:rsid w:val="00B0720E"/>
    <w:rsid w:val="00B10D80"/>
    <w:rsid w:val="00B13B88"/>
    <w:rsid w:val="00B14162"/>
    <w:rsid w:val="00B27137"/>
    <w:rsid w:val="00B30DF6"/>
    <w:rsid w:val="00B32ABD"/>
    <w:rsid w:val="00B36F3C"/>
    <w:rsid w:val="00B41927"/>
    <w:rsid w:val="00B429D6"/>
    <w:rsid w:val="00B46531"/>
    <w:rsid w:val="00B47CD5"/>
    <w:rsid w:val="00B50F83"/>
    <w:rsid w:val="00B55791"/>
    <w:rsid w:val="00B57DDF"/>
    <w:rsid w:val="00B6108C"/>
    <w:rsid w:val="00B62498"/>
    <w:rsid w:val="00B66C43"/>
    <w:rsid w:val="00B679FA"/>
    <w:rsid w:val="00B67AD0"/>
    <w:rsid w:val="00B70A64"/>
    <w:rsid w:val="00B70E58"/>
    <w:rsid w:val="00B73EE4"/>
    <w:rsid w:val="00B75B4E"/>
    <w:rsid w:val="00B75DE8"/>
    <w:rsid w:val="00B76488"/>
    <w:rsid w:val="00B80782"/>
    <w:rsid w:val="00B807AA"/>
    <w:rsid w:val="00B93DAD"/>
    <w:rsid w:val="00B95296"/>
    <w:rsid w:val="00B95758"/>
    <w:rsid w:val="00B9661A"/>
    <w:rsid w:val="00B96BE1"/>
    <w:rsid w:val="00BA5557"/>
    <w:rsid w:val="00BA5814"/>
    <w:rsid w:val="00BA6125"/>
    <w:rsid w:val="00BA682F"/>
    <w:rsid w:val="00BB0A1B"/>
    <w:rsid w:val="00BB10A4"/>
    <w:rsid w:val="00BB209C"/>
    <w:rsid w:val="00BB2B1A"/>
    <w:rsid w:val="00BB508F"/>
    <w:rsid w:val="00BC1278"/>
    <w:rsid w:val="00BC2A82"/>
    <w:rsid w:val="00BC57F2"/>
    <w:rsid w:val="00BD30BC"/>
    <w:rsid w:val="00BD5C66"/>
    <w:rsid w:val="00BD624D"/>
    <w:rsid w:val="00BD7BE0"/>
    <w:rsid w:val="00BE1CC6"/>
    <w:rsid w:val="00BE3C5D"/>
    <w:rsid w:val="00BF1442"/>
    <w:rsid w:val="00C00F24"/>
    <w:rsid w:val="00C04049"/>
    <w:rsid w:val="00C05ED0"/>
    <w:rsid w:val="00C10D2C"/>
    <w:rsid w:val="00C13D70"/>
    <w:rsid w:val="00C166B9"/>
    <w:rsid w:val="00C17F0F"/>
    <w:rsid w:val="00C20101"/>
    <w:rsid w:val="00C21541"/>
    <w:rsid w:val="00C2271D"/>
    <w:rsid w:val="00C302FA"/>
    <w:rsid w:val="00C31E83"/>
    <w:rsid w:val="00C3212E"/>
    <w:rsid w:val="00C33552"/>
    <w:rsid w:val="00C34A28"/>
    <w:rsid w:val="00C34E14"/>
    <w:rsid w:val="00C36D51"/>
    <w:rsid w:val="00C414A9"/>
    <w:rsid w:val="00C42E72"/>
    <w:rsid w:val="00C44304"/>
    <w:rsid w:val="00C4698B"/>
    <w:rsid w:val="00C50671"/>
    <w:rsid w:val="00C50A75"/>
    <w:rsid w:val="00C51002"/>
    <w:rsid w:val="00C56582"/>
    <w:rsid w:val="00C66534"/>
    <w:rsid w:val="00C66EF4"/>
    <w:rsid w:val="00C740E4"/>
    <w:rsid w:val="00C741E0"/>
    <w:rsid w:val="00C759E8"/>
    <w:rsid w:val="00C75F48"/>
    <w:rsid w:val="00C76230"/>
    <w:rsid w:val="00C76267"/>
    <w:rsid w:val="00C775C8"/>
    <w:rsid w:val="00C77DB2"/>
    <w:rsid w:val="00C82EC3"/>
    <w:rsid w:val="00C915CD"/>
    <w:rsid w:val="00CA03B7"/>
    <w:rsid w:val="00CA232D"/>
    <w:rsid w:val="00CB2329"/>
    <w:rsid w:val="00CB2F5E"/>
    <w:rsid w:val="00CB5283"/>
    <w:rsid w:val="00CB76D4"/>
    <w:rsid w:val="00CC1A57"/>
    <w:rsid w:val="00CC43B7"/>
    <w:rsid w:val="00CD0CD0"/>
    <w:rsid w:val="00CD143C"/>
    <w:rsid w:val="00CD3186"/>
    <w:rsid w:val="00CD371B"/>
    <w:rsid w:val="00CD43A9"/>
    <w:rsid w:val="00CE126B"/>
    <w:rsid w:val="00CE1338"/>
    <w:rsid w:val="00CE16C3"/>
    <w:rsid w:val="00CE3ABA"/>
    <w:rsid w:val="00CE5AD9"/>
    <w:rsid w:val="00CE5BB8"/>
    <w:rsid w:val="00CE613D"/>
    <w:rsid w:val="00CE6E41"/>
    <w:rsid w:val="00CE77C7"/>
    <w:rsid w:val="00CE78ED"/>
    <w:rsid w:val="00CF0A73"/>
    <w:rsid w:val="00CF0C7D"/>
    <w:rsid w:val="00CF1FEA"/>
    <w:rsid w:val="00CF2436"/>
    <w:rsid w:val="00CF2627"/>
    <w:rsid w:val="00CF41C3"/>
    <w:rsid w:val="00CF482C"/>
    <w:rsid w:val="00D0070C"/>
    <w:rsid w:val="00D00EAA"/>
    <w:rsid w:val="00D028AF"/>
    <w:rsid w:val="00D0553D"/>
    <w:rsid w:val="00D05723"/>
    <w:rsid w:val="00D13F48"/>
    <w:rsid w:val="00D14D74"/>
    <w:rsid w:val="00D14F64"/>
    <w:rsid w:val="00D162F7"/>
    <w:rsid w:val="00D20AF8"/>
    <w:rsid w:val="00D20F9B"/>
    <w:rsid w:val="00D24BF4"/>
    <w:rsid w:val="00D2694D"/>
    <w:rsid w:val="00D342AD"/>
    <w:rsid w:val="00D35A18"/>
    <w:rsid w:val="00D374B9"/>
    <w:rsid w:val="00D4393E"/>
    <w:rsid w:val="00D453BD"/>
    <w:rsid w:val="00D45ED9"/>
    <w:rsid w:val="00D462B0"/>
    <w:rsid w:val="00D50E93"/>
    <w:rsid w:val="00D524BE"/>
    <w:rsid w:val="00D55999"/>
    <w:rsid w:val="00D56BAF"/>
    <w:rsid w:val="00D62D2C"/>
    <w:rsid w:val="00D7150E"/>
    <w:rsid w:val="00D717E5"/>
    <w:rsid w:val="00D71902"/>
    <w:rsid w:val="00D74D8C"/>
    <w:rsid w:val="00D751E0"/>
    <w:rsid w:val="00D846C7"/>
    <w:rsid w:val="00D8715F"/>
    <w:rsid w:val="00D87978"/>
    <w:rsid w:val="00D9039F"/>
    <w:rsid w:val="00D90DE3"/>
    <w:rsid w:val="00D93641"/>
    <w:rsid w:val="00DA7BEE"/>
    <w:rsid w:val="00DC16CA"/>
    <w:rsid w:val="00DC1CC8"/>
    <w:rsid w:val="00DC5949"/>
    <w:rsid w:val="00DC7071"/>
    <w:rsid w:val="00DD565B"/>
    <w:rsid w:val="00DD5A5D"/>
    <w:rsid w:val="00DD6A02"/>
    <w:rsid w:val="00DE0F34"/>
    <w:rsid w:val="00DE1002"/>
    <w:rsid w:val="00DE4577"/>
    <w:rsid w:val="00DE529B"/>
    <w:rsid w:val="00DE5654"/>
    <w:rsid w:val="00DE58C4"/>
    <w:rsid w:val="00DE73D4"/>
    <w:rsid w:val="00DF4024"/>
    <w:rsid w:val="00DF7D4E"/>
    <w:rsid w:val="00E01A29"/>
    <w:rsid w:val="00E043A9"/>
    <w:rsid w:val="00E04E6F"/>
    <w:rsid w:val="00E061B8"/>
    <w:rsid w:val="00E07B8C"/>
    <w:rsid w:val="00E12F3E"/>
    <w:rsid w:val="00E134AE"/>
    <w:rsid w:val="00E1431B"/>
    <w:rsid w:val="00E15F7F"/>
    <w:rsid w:val="00E16F1E"/>
    <w:rsid w:val="00E23C01"/>
    <w:rsid w:val="00E2564A"/>
    <w:rsid w:val="00E25F6E"/>
    <w:rsid w:val="00E30541"/>
    <w:rsid w:val="00E329CC"/>
    <w:rsid w:val="00E33990"/>
    <w:rsid w:val="00E41F7E"/>
    <w:rsid w:val="00E43289"/>
    <w:rsid w:val="00E44C4F"/>
    <w:rsid w:val="00E50BA6"/>
    <w:rsid w:val="00E50F8F"/>
    <w:rsid w:val="00E56056"/>
    <w:rsid w:val="00E60917"/>
    <w:rsid w:val="00E632C8"/>
    <w:rsid w:val="00E65C28"/>
    <w:rsid w:val="00E668BE"/>
    <w:rsid w:val="00E67A72"/>
    <w:rsid w:val="00E707D9"/>
    <w:rsid w:val="00E7304F"/>
    <w:rsid w:val="00E759C5"/>
    <w:rsid w:val="00E80F9D"/>
    <w:rsid w:val="00E829A7"/>
    <w:rsid w:val="00E83194"/>
    <w:rsid w:val="00E84328"/>
    <w:rsid w:val="00E84EA4"/>
    <w:rsid w:val="00E87809"/>
    <w:rsid w:val="00E90596"/>
    <w:rsid w:val="00E91569"/>
    <w:rsid w:val="00E929D4"/>
    <w:rsid w:val="00E92C40"/>
    <w:rsid w:val="00E93233"/>
    <w:rsid w:val="00E94F2B"/>
    <w:rsid w:val="00E96F50"/>
    <w:rsid w:val="00E9701B"/>
    <w:rsid w:val="00EA0CE3"/>
    <w:rsid w:val="00EA4310"/>
    <w:rsid w:val="00EA5E54"/>
    <w:rsid w:val="00EA62ED"/>
    <w:rsid w:val="00EA74C2"/>
    <w:rsid w:val="00EA786A"/>
    <w:rsid w:val="00EB1B07"/>
    <w:rsid w:val="00EB7245"/>
    <w:rsid w:val="00EC08BE"/>
    <w:rsid w:val="00EC0B9C"/>
    <w:rsid w:val="00EC1C1A"/>
    <w:rsid w:val="00EC1F09"/>
    <w:rsid w:val="00EC3A18"/>
    <w:rsid w:val="00EC6849"/>
    <w:rsid w:val="00ED015B"/>
    <w:rsid w:val="00ED3A07"/>
    <w:rsid w:val="00ED48E6"/>
    <w:rsid w:val="00EE1995"/>
    <w:rsid w:val="00EE2247"/>
    <w:rsid w:val="00EE3E13"/>
    <w:rsid w:val="00EE761D"/>
    <w:rsid w:val="00EF30FD"/>
    <w:rsid w:val="00EF3805"/>
    <w:rsid w:val="00EF4128"/>
    <w:rsid w:val="00EF4BB6"/>
    <w:rsid w:val="00EF4F65"/>
    <w:rsid w:val="00EF6947"/>
    <w:rsid w:val="00EF7739"/>
    <w:rsid w:val="00EF7DA6"/>
    <w:rsid w:val="00F03EB1"/>
    <w:rsid w:val="00F065B4"/>
    <w:rsid w:val="00F07DD8"/>
    <w:rsid w:val="00F105EB"/>
    <w:rsid w:val="00F12F80"/>
    <w:rsid w:val="00F231AA"/>
    <w:rsid w:val="00F240B5"/>
    <w:rsid w:val="00F24466"/>
    <w:rsid w:val="00F24D87"/>
    <w:rsid w:val="00F266BE"/>
    <w:rsid w:val="00F279AA"/>
    <w:rsid w:val="00F357C0"/>
    <w:rsid w:val="00F36C1B"/>
    <w:rsid w:val="00F37404"/>
    <w:rsid w:val="00F4733B"/>
    <w:rsid w:val="00F501F6"/>
    <w:rsid w:val="00F50BBF"/>
    <w:rsid w:val="00F537A8"/>
    <w:rsid w:val="00F55B24"/>
    <w:rsid w:val="00F55D1E"/>
    <w:rsid w:val="00F55D7B"/>
    <w:rsid w:val="00F57C51"/>
    <w:rsid w:val="00F57F34"/>
    <w:rsid w:val="00F62066"/>
    <w:rsid w:val="00F6229E"/>
    <w:rsid w:val="00F62920"/>
    <w:rsid w:val="00F6373F"/>
    <w:rsid w:val="00F64520"/>
    <w:rsid w:val="00F6720C"/>
    <w:rsid w:val="00F67364"/>
    <w:rsid w:val="00F819CD"/>
    <w:rsid w:val="00F82791"/>
    <w:rsid w:val="00F85A4B"/>
    <w:rsid w:val="00F937D7"/>
    <w:rsid w:val="00F942DA"/>
    <w:rsid w:val="00F94425"/>
    <w:rsid w:val="00F97416"/>
    <w:rsid w:val="00FA2F10"/>
    <w:rsid w:val="00FA3BF3"/>
    <w:rsid w:val="00FA468F"/>
    <w:rsid w:val="00FB0641"/>
    <w:rsid w:val="00FB26E1"/>
    <w:rsid w:val="00FB409D"/>
    <w:rsid w:val="00FB4ADA"/>
    <w:rsid w:val="00FB7427"/>
    <w:rsid w:val="00FC5E18"/>
    <w:rsid w:val="00FD0CDB"/>
    <w:rsid w:val="00FE1EE2"/>
    <w:rsid w:val="00FE5F84"/>
    <w:rsid w:val="00FF1F51"/>
    <w:rsid w:val="00FF44FB"/>
    <w:rsid w:val="00FF7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40B5"/>
    <w:rPr>
      <w:sz w:val="24"/>
      <w:szCs w:val="24"/>
      <w:lang w:val="en-GB"/>
    </w:rPr>
  </w:style>
  <w:style w:type="paragraph" w:styleId="Heading1">
    <w:name w:val="heading 1"/>
    <w:basedOn w:val="Normal"/>
    <w:next w:val="Normal"/>
    <w:link w:val="Heading1Char"/>
    <w:uiPriority w:val="9"/>
    <w:qFormat/>
    <w:rsid w:val="002C693E"/>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F240B5"/>
    <w:rPr>
      <w:sz w:val="20"/>
      <w:szCs w:val="20"/>
    </w:rPr>
  </w:style>
  <w:style w:type="character" w:styleId="FootnoteReference">
    <w:name w:val="footnote reference"/>
    <w:basedOn w:val="DefaultParagraphFont"/>
    <w:semiHidden/>
    <w:rsid w:val="00F240B5"/>
    <w:rPr>
      <w:vertAlign w:val="superscript"/>
    </w:rPr>
  </w:style>
  <w:style w:type="paragraph" w:styleId="List2">
    <w:name w:val="List 2"/>
    <w:basedOn w:val="Normal"/>
    <w:rsid w:val="002C693E"/>
    <w:pPr>
      <w:ind w:left="566" w:hanging="283"/>
    </w:pPr>
  </w:style>
  <w:style w:type="paragraph" w:styleId="BodyText">
    <w:name w:val="Body Text"/>
    <w:basedOn w:val="Normal"/>
    <w:rsid w:val="002C693E"/>
    <w:pPr>
      <w:spacing w:after="120"/>
    </w:pPr>
  </w:style>
  <w:style w:type="paragraph" w:styleId="BodyTextFirstIndent">
    <w:name w:val="Body Text First Indent"/>
    <w:basedOn w:val="BodyText"/>
    <w:rsid w:val="002C693E"/>
    <w:pPr>
      <w:ind w:firstLine="210"/>
    </w:pPr>
  </w:style>
  <w:style w:type="paragraph" w:styleId="Header">
    <w:name w:val="header"/>
    <w:basedOn w:val="Normal"/>
    <w:link w:val="HeaderChar"/>
    <w:uiPriority w:val="99"/>
    <w:rsid w:val="000C5CA9"/>
    <w:pPr>
      <w:tabs>
        <w:tab w:val="center" w:pos="4320"/>
        <w:tab w:val="right" w:pos="8640"/>
      </w:tabs>
    </w:pPr>
  </w:style>
  <w:style w:type="paragraph" w:styleId="Footer">
    <w:name w:val="footer"/>
    <w:basedOn w:val="Normal"/>
    <w:rsid w:val="000C5CA9"/>
    <w:pPr>
      <w:tabs>
        <w:tab w:val="center" w:pos="4320"/>
        <w:tab w:val="right" w:pos="8640"/>
      </w:tabs>
    </w:pPr>
  </w:style>
  <w:style w:type="paragraph" w:styleId="Title">
    <w:name w:val="Title"/>
    <w:basedOn w:val="Normal"/>
    <w:qFormat/>
    <w:rsid w:val="009975A0"/>
    <w:pPr>
      <w:spacing w:before="240" w:after="60"/>
      <w:jc w:val="center"/>
      <w:outlineLvl w:val="0"/>
    </w:pPr>
    <w:rPr>
      <w:rFonts w:ascii="Arial" w:hAnsi="Arial" w:cs="Arial"/>
      <w:b/>
      <w:bCs/>
      <w:kern w:val="28"/>
      <w:sz w:val="32"/>
      <w:szCs w:val="32"/>
    </w:rPr>
  </w:style>
  <w:style w:type="paragraph" w:styleId="BodyTextIndent">
    <w:name w:val="Body Text Indent"/>
    <w:basedOn w:val="Normal"/>
    <w:rsid w:val="009975A0"/>
    <w:pPr>
      <w:spacing w:after="120"/>
      <w:ind w:left="283"/>
    </w:pPr>
  </w:style>
  <w:style w:type="paragraph" w:styleId="BalloonText">
    <w:name w:val="Balloon Text"/>
    <w:basedOn w:val="Normal"/>
    <w:semiHidden/>
    <w:rsid w:val="00834A8E"/>
    <w:rPr>
      <w:rFonts w:ascii="Tahoma" w:hAnsi="Tahoma" w:cs="Tahoma"/>
      <w:sz w:val="16"/>
      <w:szCs w:val="16"/>
    </w:rPr>
  </w:style>
  <w:style w:type="character" w:customStyle="1" w:styleId="HeaderChar">
    <w:name w:val="Header Char"/>
    <w:basedOn w:val="DefaultParagraphFont"/>
    <w:link w:val="Header"/>
    <w:uiPriority w:val="99"/>
    <w:rsid w:val="008A2C62"/>
    <w:rPr>
      <w:sz w:val="24"/>
      <w:szCs w:val="24"/>
      <w:lang w:val="en-GB"/>
    </w:rPr>
  </w:style>
  <w:style w:type="character" w:styleId="Hyperlink">
    <w:name w:val="Hyperlink"/>
    <w:basedOn w:val="DefaultParagraphFont"/>
    <w:rsid w:val="008A2C62"/>
    <w:rPr>
      <w:color w:val="0000FF" w:themeColor="hyperlink"/>
      <w:u w:val="single"/>
    </w:rPr>
  </w:style>
  <w:style w:type="paragraph" w:styleId="Bibliography">
    <w:name w:val="Bibliography"/>
    <w:basedOn w:val="Normal"/>
    <w:next w:val="Normal"/>
    <w:uiPriority w:val="37"/>
    <w:unhideWhenUsed/>
    <w:rsid w:val="00EF4128"/>
  </w:style>
  <w:style w:type="character" w:customStyle="1" w:styleId="Heading1Char">
    <w:name w:val="Heading 1 Char"/>
    <w:basedOn w:val="DefaultParagraphFont"/>
    <w:link w:val="Heading1"/>
    <w:uiPriority w:val="9"/>
    <w:rsid w:val="00EF4128"/>
    <w:rPr>
      <w:rFonts w:ascii="Arial" w:hAnsi="Arial" w:cs="Arial"/>
      <w:b/>
      <w:bCs/>
      <w:kern w:val="32"/>
      <w:sz w:val="32"/>
      <w:szCs w:val="3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40B5"/>
    <w:rPr>
      <w:sz w:val="24"/>
      <w:szCs w:val="24"/>
      <w:lang w:val="en-GB"/>
    </w:rPr>
  </w:style>
  <w:style w:type="paragraph" w:styleId="Heading1">
    <w:name w:val="heading 1"/>
    <w:basedOn w:val="Normal"/>
    <w:next w:val="Normal"/>
    <w:link w:val="Heading1Char"/>
    <w:uiPriority w:val="9"/>
    <w:qFormat/>
    <w:rsid w:val="002C693E"/>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F240B5"/>
    <w:rPr>
      <w:sz w:val="20"/>
      <w:szCs w:val="20"/>
    </w:rPr>
  </w:style>
  <w:style w:type="character" w:styleId="FootnoteReference">
    <w:name w:val="footnote reference"/>
    <w:basedOn w:val="DefaultParagraphFont"/>
    <w:semiHidden/>
    <w:rsid w:val="00F240B5"/>
    <w:rPr>
      <w:vertAlign w:val="superscript"/>
    </w:rPr>
  </w:style>
  <w:style w:type="paragraph" w:styleId="List2">
    <w:name w:val="List 2"/>
    <w:basedOn w:val="Normal"/>
    <w:rsid w:val="002C693E"/>
    <w:pPr>
      <w:ind w:left="566" w:hanging="283"/>
    </w:pPr>
  </w:style>
  <w:style w:type="paragraph" w:styleId="BodyText">
    <w:name w:val="Body Text"/>
    <w:basedOn w:val="Normal"/>
    <w:rsid w:val="002C693E"/>
    <w:pPr>
      <w:spacing w:after="120"/>
    </w:pPr>
  </w:style>
  <w:style w:type="paragraph" w:styleId="BodyTextFirstIndent">
    <w:name w:val="Body Text First Indent"/>
    <w:basedOn w:val="BodyText"/>
    <w:rsid w:val="002C693E"/>
    <w:pPr>
      <w:ind w:firstLine="210"/>
    </w:pPr>
  </w:style>
  <w:style w:type="paragraph" w:styleId="Header">
    <w:name w:val="header"/>
    <w:basedOn w:val="Normal"/>
    <w:link w:val="HeaderChar"/>
    <w:uiPriority w:val="99"/>
    <w:rsid w:val="000C5CA9"/>
    <w:pPr>
      <w:tabs>
        <w:tab w:val="center" w:pos="4320"/>
        <w:tab w:val="right" w:pos="8640"/>
      </w:tabs>
    </w:pPr>
  </w:style>
  <w:style w:type="paragraph" w:styleId="Footer">
    <w:name w:val="footer"/>
    <w:basedOn w:val="Normal"/>
    <w:rsid w:val="000C5CA9"/>
    <w:pPr>
      <w:tabs>
        <w:tab w:val="center" w:pos="4320"/>
        <w:tab w:val="right" w:pos="8640"/>
      </w:tabs>
    </w:pPr>
  </w:style>
  <w:style w:type="paragraph" w:styleId="Title">
    <w:name w:val="Title"/>
    <w:basedOn w:val="Normal"/>
    <w:qFormat/>
    <w:rsid w:val="009975A0"/>
    <w:pPr>
      <w:spacing w:before="240" w:after="60"/>
      <w:jc w:val="center"/>
      <w:outlineLvl w:val="0"/>
    </w:pPr>
    <w:rPr>
      <w:rFonts w:ascii="Arial" w:hAnsi="Arial" w:cs="Arial"/>
      <w:b/>
      <w:bCs/>
      <w:kern w:val="28"/>
      <w:sz w:val="32"/>
      <w:szCs w:val="32"/>
    </w:rPr>
  </w:style>
  <w:style w:type="paragraph" w:styleId="BodyTextIndent">
    <w:name w:val="Body Text Indent"/>
    <w:basedOn w:val="Normal"/>
    <w:rsid w:val="009975A0"/>
    <w:pPr>
      <w:spacing w:after="120"/>
      <w:ind w:left="283"/>
    </w:pPr>
  </w:style>
  <w:style w:type="paragraph" w:styleId="BalloonText">
    <w:name w:val="Balloon Text"/>
    <w:basedOn w:val="Normal"/>
    <w:semiHidden/>
    <w:rsid w:val="00834A8E"/>
    <w:rPr>
      <w:rFonts w:ascii="Tahoma" w:hAnsi="Tahoma" w:cs="Tahoma"/>
      <w:sz w:val="16"/>
      <w:szCs w:val="16"/>
    </w:rPr>
  </w:style>
  <w:style w:type="character" w:customStyle="1" w:styleId="HeaderChar">
    <w:name w:val="Header Char"/>
    <w:basedOn w:val="DefaultParagraphFont"/>
    <w:link w:val="Header"/>
    <w:uiPriority w:val="99"/>
    <w:rsid w:val="008A2C62"/>
    <w:rPr>
      <w:sz w:val="24"/>
      <w:szCs w:val="24"/>
      <w:lang w:val="en-GB"/>
    </w:rPr>
  </w:style>
  <w:style w:type="character" w:styleId="Hyperlink">
    <w:name w:val="Hyperlink"/>
    <w:basedOn w:val="DefaultParagraphFont"/>
    <w:rsid w:val="008A2C62"/>
    <w:rPr>
      <w:color w:val="0000FF" w:themeColor="hyperlink"/>
      <w:u w:val="single"/>
    </w:rPr>
  </w:style>
  <w:style w:type="paragraph" w:styleId="Bibliography">
    <w:name w:val="Bibliography"/>
    <w:basedOn w:val="Normal"/>
    <w:next w:val="Normal"/>
    <w:uiPriority w:val="37"/>
    <w:unhideWhenUsed/>
    <w:rsid w:val="00EF4128"/>
  </w:style>
  <w:style w:type="character" w:customStyle="1" w:styleId="Heading1Char">
    <w:name w:val="Heading 1 Char"/>
    <w:basedOn w:val="DefaultParagraphFont"/>
    <w:link w:val="Heading1"/>
    <w:uiPriority w:val="9"/>
    <w:rsid w:val="00EF4128"/>
    <w:rPr>
      <w:rFonts w:ascii="Arial" w:hAnsi="Arial" w:cs="Arial"/>
      <w:b/>
      <w:bCs/>
      <w:kern w:val="32"/>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Hen76</b:Tag>
    <b:SourceType>Book</b:SourceType>
    <b:Guid>{57CC2628-4325-475E-B946-86EA56861FBC}</b:Guid>
    <b:Author>
      <b:Author>
        <b:NameList>
          <b:Person>
            <b:Last>Nouwen</b:Last>
            <b:First>Henri</b:First>
            <b:Middle>J. M.</b:Middle>
          </b:Person>
        </b:NameList>
      </b:Author>
    </b:Author>
    <b:Title>Reaching Out: The Three Movements of the Spiritual Life</b:Title>
    <b:Year>1976</b:Year>
    <b:City>Glasgow</b:City>
    <b:Publisher>William Collins Sons &amp; Co Ltd</b:Publisher>
    <b:RefOrder>1</b:RefOrder>
  </b:Source>
  <b:Source>
    <b:Tag>Che05</b:Tag>
    <b:SourceType>Misc</b:SourceType>
    <b:Guid>{AD883090-91FB-4C4C-BCD5-9E5DDB463B6A}</b:Guid>
    <b:Author>
      <b:Author>
        <b:NameList>
          <b:Person>
            <b:Last>Cheesman</b:Last>
            <b:First>Graham</b:First>
          </b:Person>
        </b:NameList>
      </b:Author>
    </b:Author>
    <b:Title>A Conversation with Henri Nouwen about Theological Education</b:Title>
    <b:Year>2005</b:Year>
    <b:Edition>Unpublished Article</b:Edition>
    <b:City>Unpublished Article</b:City>
    <b:RefOrder>2</b:RefOrder>
  </b:Source>
  <b:Source>
    <b:Tag>Kel93</b:Tag>
    <b:SourceType>Book</b:SourceType>
    <b:Guid>{A97AC9B6-A821-4E15-BB8A-3E7754EFDD7A}</b:Guid>
    <b:Author>
      <b:Author>
        <b:NameList>
          <b:Person>
            <b:Last>Kelsey</b:Last>
            <b:First>David</b:First>
          </b:Person>
        </b:NameList>
      </b:Author>
    </b:Author>
    <b:Title>Between Athens and Berlin</b:Title>
    <b:Year>1993</b:Year>
    <b:City>Grand Rapids</b:City>
    <b:Publisher>Eerdmans</b:Publisher>
    <b:RefOrder>3</b:RefOrder>
  </b:Source>
  <b:Source>
    <b:Tag>Kir05</b:Tag>
    <b:SourceType>BookSection</b:SourceType>
    <b:Guid>{42D1BB2C-653E-4908-8A0D-16E7306B3581}</b:Guid>
    <b:Author>
      <b:Author>
        <b:NameList>
          <b:Person>
            <b:Last>Kirk</b:Last>
            <b:First>Andrew</b:First>
          </b:Person>
        </b:NameList>
      </b:Author>
      <b:BookAuthor>
        <b:NameList>
          <b:Person>
            <b:Last>Penner</b:Last>
            <b:First>Peter</b:First>
            <b:Middle>F.</b:Middle>
          </b:Person>
        </b:NameList>
      </b:BookAuthor>
    </b:Author>
    <b:Title>Re-envisioning the Theological Curriculum as if the Missio Dei mattered</b:Title>
    <b:Year>2005</b:Year>
    <b:City>Scharzenfeld,Germany</b:City>
    <b:Publisher>Neufeld Verlag</b:Publisher>
    <b:BookTitle>Theological Education as Mission</b:BookTitle>
    <b:Pages>22-37</b:Pages>
    <b:RefOrder>4</b:RefOrder>
  </b:Source>
  <b:Source>
    <b:Tag>Pal93</b:Tag>
    <b:SourceType>Book</b:SourceType>
    <b:Guid>{F9A28566-BEF9-4D57-9AD7-F802AFBF009E}</b:Guid>
    <b:Author>
      <b:Author>
        <b:NameList>
          <b:Person>
            <b:Last>Palmer</b:Last>
            <b:First>Parker</b:First>
          </b:Person>
        </b:NameList>
      </b:Author>
    </b:Author>
    <b:Title>To Know as we are Known</b:Title>
    <b:Year>1993</b:Year>
    <b:City>New York</b:City>
    <b:Publisher>Harper Collins</b:Publisher>
    <b:RefOrder>5</b:RefOrder>
  </b:Source>
  <b:Source>
    <b:Tag>Joh92</b:Tag>
    <b:SourceType>Book</b:SourceType>
    <b:Guid>{DE75EA0E-BEF1-4683-8C5A-0A15CFBFD30E}</b:Guid>
    <b:Title>Pastores Dabo Vobis: Post-Synodal Apostolic Exhortation of His Holiness John Paul II on the Formation of Priests in the Circumstances of the Present Day</b:Title>
    <b:Year>1992</b:Year>
    <b:City>London</b:City>
    <b:Publisher>Catholic Truth Society</b:Publisher>
    <b:RefOrder>6</b:RefOrder>
  </b:Source>
  <b:Source>
    <b:Tag>Amind</b:Tag>
    <b:SourceType>BookSection</b:SourceType>
    <b:Guid>{1E186C78-9F3A-4AE7-8B5F-C419DBAF414F}</b:Guid>
    <b:Author>
      <b:Editor>
        <b:NameList>
          <b:Person>
            <b:Last>Amithram</b:Last>
            <b:First>Samuel</b:First>
          </b:Person>
          <b:Person>
            <b:Last>Pryor</b:Last>
            <b:First>Robin</b:First>
          </b:Person>
        </b:NameList>
      </b:Editor>
    </b:Author>
    <b:Title>The Iona Document on Spiritual Formation</b:Title>
    <b:Year>n.d.</b:Year>
    <b:Publisher>WCC</b:Publisher>
    <b:City>Geneva</b:City>
    <b:Pages>146-155</b:Pages>
    <b:ConferenceName>Invitation to the Feast of Life: Resources for Spiritual Formation in Theological Education</b:ConferenceName>
    <b:BookTitle>Invitation to the Feast of Life</b:BookTitle>
    <b:RefOrder>7</b:RefOrder>
  </b:Source>
  <b:Source>
    <b:Tag>Rep72</b:Tag>
    <b:SourceType>JournalArticle</b:SourceType>
    <b:Guid>{5BCE4365-0DF9-489F-8E3C-8604F72E7325}</b:Guid>
    <b:Title>Report of the Task Force on Spiritual Direction</b:Title>
    <b:Year>1972</b:Year>
    <b:Pages>153-197</b:Pages>
    <b:PeriodicalTitle>Theological Education</b:PeriodicalTitle>
    <b:Month>Spring</b:Month>
    <b:JournalName>Theological Education</b:JournalName>
    <b:RefOrder>8</b:RefOrder>
  </b:Source>
  <b:Source>
    <b:Tag>Edw80</b:Tag>
    <b:SourceType>JournalArticle</b:SourceType>
    <b:Guid>{CDAA15FE-1EC7-471B-B895-7D978D28EC1C}</b:Guid>
    <b:Author>
      <b:Author>
        <b:NameList>
          <b:Person>
            <b:Last>Edwards Jr.</b:Last>
            <b:First>Tilden</b:First>
            <b:Middle>H.</b:Middle>
          </b:Person>
        </b:NameList>
      </b:Author>
    </b:Author>
    <b:Title>Spiritual Formation in Theological Schools: Ferment and Challenge</b:Title>
    <b:JournalName>Theological Education</b:JournalName>
    <b:Year>1980</b:Year>
    <b:Pages>7-52</b:Pages>
    <b:RefOrder>9</b:RefOrder>
  </b:Source>
  <b:Source>
    <b:Tag>Sch85</b:Tag>
    <b:SourceType>JournalArticle</b:SourceType>
    <b:Guid>{52439B25-D1BB-4053-847F-0EFD3D6F4F8B}</b:Guid>
    <b:Author>
      <b:Author>
        <b:NameList>
          <b:Person>
            <b:Last>Schner</b:Last>
            <b:First>George</b:First>
            <b:Middle>P.</b:Middle>
          </b:Person>
        </b:NameList>
      </b:Author>
    </b:Author>
    <b:Title>Formation as a unifying concept of theological education</b:Title>
    <b:JournalName>Theological Education</b:JournalName>
    <b:Year>1985</b:Year>
    <b:Pages>94-113</b:Pages>
    <b:Month>Spring</b:Month>
    <b:RefOrder>10</b:RefOrder>
  </b:Source>
  <b:Source>
    <b:Tag>Smi96</b:Tag>
    <b:SourceType>JournalArticle</b:SourceType>
    <b:Guid>{5D429BD7-BD9A-461C-94B8-09FB7038D772}</b:Guid>
    <b:Author>
      <b:Author>
        <b:NameList>
          <b:Person>
            <b:Last>Smith</b:Last>
            <b:First>Gordon</b:First>
            <b:Middle>T.</b:Middle>
          </b:Person>
        </b:NameList>
      </b:Author>
    </b:Author>
    <b:Title>Spiritual formation in the academy: a unifying model</b:Title>
    <b:JournalName>Theological Education</b:JournalName>
    <b:Year>1996</b:Year>
    <b:Pages>83-91</b:Pages>
    <b:Volume>33</b:Volume>
    <b:Issue>1</b:Issue>
    <b:RefOrder>11</b:RefOrder>
  </b:Source>
  <b:Source>
    <b:Tag>Feo05</b:Tag>
    <b:SourceType>BookSection</b:SourceType>
    <b:Guid>{692DCC10-B78F-4A8C-B31F-1293DD013F04}</b:Guid>
    <b:Author>
      <b:Author>
        <b:NameList>
          <b:Person>
            <b:Last>Feodorov</b:Last>
            <b:First>Vladimir</b:First>
          </b:Person>
        </b:NameList>
      </b:Author>
      <b:BookAuthor>
        <b:NameList>
          <b:Person>
            <b:Last>Penner</b:Last>
            <b:First>Peter</b:First>
            <b:Middle>E.</b:Middle>
          </b:Person>
        </b:NameList>
      </b:BookAuthor>
    </b:Author>
    <b:Title>Orthodox View on Theological Education as Mission</b:Title>
    <b:Year>2005</b:Year>
    <b:Pages>69-101</b:Pages>
    <b:BookTitle>Theological Education as Mission</b:BookTitle>
    <b:City>Scharzenfeld, Germany</b:City>
    <b:Publisher>Neyfeld Verlag</b:Publisher>
    <b:RefOrder>12</b:RefOrder>
  </b:Source>
  <b:Source>
    <b:Tag>Pil05</b:Tag>
    <b:SourceType>BookSection</b:SourceType>
    <b:Guid>{0A387313-E831-4974-8E15-C9E70B5DFBB1}</b:Guid>
    <b:Author>
      <b:Author>
        <b:NameList>
          <b:Person>
            <b:Last>Pilli</b:Last>
            <b:First>Einike</b:First>
          </b:Person>
        </b:NameList>
      </b:Author>
      <b:BookAuthor>
        <b:NameList>
          <b:Person>
            <b:Last>Penner</b:Last>
            <b:First>Peter</b:First>
            <b:Middle>F.</b:Middle>
          </b:Person>
        </b:NameList>
      </b:BookAuthor>
    </b:Author>
    <b:Title>Toward a Holistic View of Theological Education: Response to Linda Cannell's paper 'Opportunities for 21st Century International Theological Education'</b:Title>
    <b:BookTitle>Theological Education as Mission</b:BookTitle>
    <b:Year>2005</b:Year>
    <b:Pages>171-184</b:Pages>
    <b:City>Scharzenfeld, Germany</b:City>
    <b:Publisher>Neufeld Verlag</b:Publisher>
    <b:RefOrder>13</b:RefOrder>
  </b:Source>
  <b:Source>
    <b:Tag>Chend</b:Tag>
    <b:SourceType>DocumentFromInternetSite</b:SourceType>
    <b:Guid>{B3C08DF3-3499-46AD-84BE-8014A1160E56}</b:Guid>
    <b:Author>
      <b:Author>
        <b:NameList>
          <b:Person>
            <b:Last>Cheesman</b:Last>
            <b:First>Graham</b:First>
          </b:Person>
        </b:NameList>
      </b:Author>
    </b:Author>
    <b:Title>Spiritual Formation as a goal of Theological Education</b:Title>
    <b:City>Unpublished Article</b:City>
    <b:URL>www.theologicaleducation.org/resources</b:URL>
    <b:RefOrder>14</b:RefOrder>
  </b:Source>
  <b:Source>
    <b:Tag>Ban99</b:Tag>
    <b:SourceType>Book</b:SourceType>
    <b:Guid>{2E75899B-366F-454D-BEB3-647556BEA775}</b:Guid>
    <b:Author>
      <b:Author>
        <b:NameList>
          <b:Person>
            <b:Last>Banks</b:Last>
            <b:First>Robert</b:First>
          </b:Person>
        </b:NameList>
      </b:Author>
    </b:Author>
    <b:Title>Reenvisioning Theological Education: Exploring a Missional Alternative to Current Models</b:Title>
    <b:Year>1999</b:Year>
    <b:City>Grand Rapids</b:City>
    <b:Publisher>Eerdmans</b:Publisher>
    <b:RefOrder>15</b:RefOrder>
  </b:Source>
  <b:Source>
    <b:Tag>Wor07</b:Tag>
    <b:SourceType>JournalArticle</b:SourceType>
    <b:Guid>{67B82159-11E7-4D23-A37D-28338903AB16}</b:Guid>
    <b:Author>
      <b:Author>
        <b:NameList>
          <b:Person>
            <b:Last>Work</b:Last>
            <b:First>Telform</b:First>
          </b:Person>
        </b:NameList>
      </b:Author>
    </b:Author>
    <b:Title>Education as Mission</b:Title>
    <b:Year>2007</b:Year>
    <b:JournalName>Journal of Education and Christian Belief</b:JournalName>
    <b:Month>Spring</b:Month>
    <b:RefOrder>16</b:RefOrder>
  </b:Source>
  <b:Source>
    <b:Tag>Col04</b:Tag>
    <b:SourceType>Book</b:SourceType>
    <b:Guid>{B45DC2D3-A986-4F31-A4E4-41F1B0D5C4E8}</b:Guid>
    <b:Author>
      <b:Author>
        <b:NameList>
          <b:Person>
            <b:Last>Collinson</b:Last>
            <b:First>Sylvia</b:First>
            <b:Middle>Wilkey</b:Middle>
          </b:Person>
        </b:NameList>
      </b:Author>
    </b:Author>
    <b:Title>Making Disciples: The Significance of Jesus' Educational Methods for Today's Church</b:Title>
    <b:Year>2004</b:Year>
    <b:City>Milton Keynes, UK</b:City>
    <b:Publisher>Paternoster</b:Publisher>
    <b:RefOrder>17</b:RefOrder>
  </b:Source>
  <b:Source>
    <b:Tag>The</b:Tag>
    <b:SourceType>InternetSite</b:SourceType>
    <b:Guid>{CC9E3351-CA43-4F02-A5BD-5DBEFB6C0AFF}</b:Guid>
    <b:Author>
      <b:Author>
        <b:Corporate>The Brothers and Sisters of Charity</b:Corporate>
      </b:Author>
    </b:Author>
    <b:Title>Monastic Life</b:Title>
    <b:Year>2008</b:Year>
    <b:YearAccessed>2008</b:YearAccessed>
    <b:MonthAccessed>October</b:MonthAccessed>
    <b:DayAccessed>24</b:DayAccessed>
    <b:URL>http://www.littleportion.org/Vocation/index.asp?id=52</b:URL>
    <b:RefOrder>18</b:RefOrder>
  </b:Source>
</b:Sources>
</file>

<file path=customXml/itemProps1.xml><?xml version="1.0" encoding="utf-8"?>
<ds:datastoreItem xmlns:ds="http://schemas.openxmlformats.org/officeDocument/2006/customXml" ds:itemID="{49DF4E17-159A-4111-B9E9-69954B595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4362</Words>
  <Characters>24864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Theological education, in the sense of people telling each other about the divine, began with the first gasp of mankind</vt:lpstr>
    </vt:vector>
  </TitlesOfParts>
  <Company>Microsoft</Company>
  <LinksUpToDate>false</LinksUpToDate>
  <CharactersWithSpaces>29168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Theological education, in the sense of people telling each other about the divine, began with the first gasp of mankind</dc:title>
  <dc:creator>Alan Armstrong</dc:creator>
  <cp:lastModifiedBy>graham</cp:lastModifiedBy>
  <cp:revision>3</cp:revision>
  <cp:lastPrinted>2008-10-16T18:31:00Z</cp:lastPrinted>
  <dcterms:created xsi:type="dcterms:W3CDTF">2010-10-16T16:23:00Z</dcterms:created>
  <dcterms:modified xsi:type="dcterms:W3CDTF">2010-10-28T07:17:00Z</dcterms:modified>
</cp:coreProperties>
</file>