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rPr>
          <w:smallCaps/>
        </w:rPr>
      </w:pPr>
      <w:r>
        <w:rPr>
          <w:smallCaps/>
        </w:rPr>
        <w:t>Mendicant Host</w:t>
      </w:r>
    </w:p>
    <w:p w:rsidR="00827099" w:rsidRPr="008E1217" w:rsidRDefault="00827099" w:rsidP="00827099">
      <w:pPr>
        <w:jc w:val="center"/>
        <w:rPr>
          <w:i/>
        </w:rPr>
      </w:pPr>
      <w:r>
        <w:t>The Tutor as a Fellow-Student in the School of Messiah</w:t>
      </w:r>
    </w:p>
    <w:p w:rsidR="00827099" w:rsidRPr="008E1217" w:rsidRDefault="00827099" w:rsidP="00827099">
      <w:pPr>
        <w:jc w:val="center"/>
        <w:rPr>
          <w:i/>
        </w:rP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r w:rsidRPr="008E1217">
        <w:t xml:space="preserve">John Patrick </w:t>
      </w:r>
      <w:proofErr w:type="spellStart"/>
      <w:r w:rsidRPr="008E1217">
        <w:t>Pazdziora</w:t>
      </w:r>
      <w:proofErr w:type="spellEnd"/>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827099" w:rsidP="00827099">
      <w:pPr>
        <w:jc w:val="center"/>
      </w:pPr>
    </w:p>
    <w:p w:rsidR="00827099" w:rsidRPr="008E1217" w:rsidRDefault="00D902D3" w:rsidP="00827099">
      <w:pPr>
        <w:jc w:val="center"/>
      </w:pPr>
      <w:r>
        <w:t xml:space="preserve">Paper for the Post-Graduate Certificate Module in </w:t>
      </w:r>
      <w:bookmarkStart w:id="0" w:name="_GoBack"/>
      <w:bookmarkEnd w:id="0"/>
      <w:r w:rsidR="00827099">
        <w:t>Theological Education</w:t>
      </w:r>
    </w:p>
    <w:p w:rsidR="00827099" w:rsidRPr="008E1217" w:rsidRDefault="00827099" w:rsidP="00827099">
      <w:pPr>
        <w:jc w:val="center"/>
      </w:pPr>
      <w:proofErr w:type="spellStart"/>
      <w:r w:rsidRPr="008E1217">
        <w:t>Dr.</w:t>
      </w:r>
      <w:proofErr w:type="spellEnd"/>
      <w:r w:rsidRPr="008E1217">
        <w:t xml:space="preserve"> Graham Cheesman</w:t>
      </w:r>
    </w:p>
    <w:p w:rsidR="00827099" w:rsidRPr="008E1217" w:rsidRDefault="0005054D" w:rsidP="00827099">
      <w:pPr>
        <w:jc w:val="center"/>
      </w:pPr>
      <w:r>
        <w:t>28 November, 2008</w:t>
      </w:r>
    </w:p>
    <w:p w:rsidR="00827099" w:rsidRPr="008E1217" w:rsidRDefault="00827099" w:rsidP="00827099">
      <w:pPr>
        <w:jc w:val="center"/>
      </w:pPr>
    </w:p>
    <w:p w:rsidR="00827099" w:rsidRPr="008E1217" w:rsidRDefault="00827099" w:rsidP="00827099">
      <w:pPr>
        <w:jc w:val="center"/>
      </w:pPr>
    </w:p>
    <w:p w:rsidR="00827099" w:rsidRDefault="00827099" w:rsidP="00827099">
      <w:pPr>
        <w:rPr>
          <w:smallCaps/>
        </w:rPr>
      </w:pPr>
      <w:r>
        <w:rPr>
          <w:smallCaps/>
        </w:rPr>
        <w:br w:type="page"/>
      </w:r>
    </w:p>
    <w:p w:rsidR="0005054D" w:rsidRPr="008E1217" w:rsidRDefault="0005054D" w:rsidP="0005054D">
      <w:pPr>
        <w:jc w:val="center"/>
        <w:rPr>
          <w:i/>
        </w:rPr>
      </w:pPr>
      <w:r>
        <w:rPr>
          <w:smallCaps/>
        </w:rPr>
        <w:lastRenderedPageBreak/>
        <w:t xml:space="preserve">Mendicant Host: </w:t>
      </w:r>
      <w:r>
        <w:t>The Tutor as a Fellow-Student in the School of Messiah</w:t>
      </w:r>
    </w:p>
    <w:p w:rsidR="0005054D" w:rsidRDefault="0005054D" w:rsidP="00827099">
      <w:pPr>
        <w:spacing w:after="0" w:line="480" w:lineRule="auto"/>
        <w:rPr>
          <w:b/>
        </w:rPr>
      </w:pPr>
    </w:p>
    <w:p w:rsidR="00FD618E" w:rsidRPr="00FD618E" w:rsidRDefault="00FD618E" w:rsidP="00827099">
      <w:pPr>
        <w:spacing w:after="0" w:line="480" w:lineRule="auto"/>
        <w:rPr>
          <w:b/>
        </w:rPr>
      </w:pPr>
      <w:r>
        <w:rPr>
          <w:b/>
        </w:rPr>
        <w:t>Introduction</w:t>
      </w:r>
    </w:p>
    <w:p w:rsidR="00E4098C" w:rsidRDefault="000F0211" w:rsidP="00827099">
      <w:pPr>
        <w:spacing w:after="0" w:line="480" w:lineRule="auto"/>
        <w:ind w:firstLine="720"/>
      </w:pPr>
      <w:r>
        <w:t>The theological tutor struggles to maintain an adequate tension between the theological and the educational elements of his role</w:t>
      </w:r>
      <w:r w:rsidR="006D3279">
        <w:t>, to creatively engage students in learning the mystery of God in Christ.</w:t>
      </w:r>
      <w:r w:rsidR="006D3279">
        <w:rPr>
          <w:rStyle w:val="FootnoteReference"/>
        </w:rPr>
        <w:footnoteReference w:id="1"/>
      </w:r>
      <w:r w:rsidR="00D70775">
        <w:t xml:space="preserve">  This contains an inherent challenge.  </w:t>
      </w:r>
      <w:r w:rsidR="00E4098C">
        <w:t xml:space="preserve">Linda </w:t>
      </w:r>
      <w:proofErr w:type="spellStart"/>
      <w:r w:rsidR="00E4098C">
        <w:t>Cannell</w:t>
      </w:r>
      <w:proofErr w:type="spellEnd"/>
      <w:r w:rsidR="00D70775">
        <w:t xml:space="preserve"> rightly said, “Wisdom is not cultivated easily in a few semesters.  Understanding does not mature in a short burst of formal education.”</w:t>
      </w:r>
      <w:r w:rsidR="00D70775">
        <w:rPr>
          <w:rStyle w:val="FootnoteReference"/>
        </w:rPr>
        <w:footnoteReference w:id="2"/>
      </w:r>
    </w:p>
    <w:p w:rsidR="000A2819" w:rsidRDefault="00E4098C" w:rsidP="00827099">
      <w:pPr>
        <w:spacing w:after="0" w:line="480" w:lineRule="auto"/>
        <w:ind w:firstLine="720"/>
      </w:pPr>
      <w:r>
        <w:t>The old model, mere mental development via the lecturer spouting information at passive student receptors, is thankfully being discarded, albeit slowly.</w:t>
      </w:r>
      <w:r>
        <w:rPr>
          <w:rStyle w:val="FootnoteReference"/>
        </w:rPr>
        <w:footnoteReference w:id="3"/>
      </w:r>
      <w:r>
        <w:t xml:space="preserve">  </w:t>
      </w:r>
      <w:r w:rsidR="000A2819">
        <w:t>With it comes the growing realization that theological education, and the role of the tutor within it, must change in more areas than methodology.</w:t>
      </w:r>
      <w:r w:rsidR="000A2819">
        <w:rPr>
          <w:rStyle w:val="FootnoteReference"/>
        </w:rPr>
        <w:footnoteReference w:id="4"/>
      </w:r>
      <w:r w:rsidR="000A2819">
        <w:t xml:space="preserve">  </w:t>
      </w:r>
    </w:p>
    <w:p w:rsidR="00E954E8" w:rsidRDefault="000A2819" w:rsidP="00827099">
      <w:pPr>
        <w:spacing w:after="0" w:line="480" w:lineRule="auto"/>
        <w:ind w:firstLine="720"/>
      </w:pPr>
      <w:r>
        <w:t>“As I teach and learn,” said Edward Foley, “graced and confronted with more and more difference, I recognize that I am helping to prepare ministers who will see a world I will not understand, will minister in places I have never visited, and will confront ecclesial and social issues that are beyond my experience.  Simply teaching them what I learned is insufficient for the worlds they do and will confront.”</w:t>
      </w:r>
      <w:r>
        <w:rPr>
          <w:rStyle w:val="FootnoteReference"/>
        </w:rPr>
        <w:footnoteReference w:id="5"/>
      </w:r>
      <w:r w:rsidR="00E954E8" w:rsidRPr="00E954E8">
        <w:t xml:space="preserve"> </w:t>
      </w:r>
    </w:p>
    <w:p w:rsidR="00E954E8" w:rsidRDefault="00E954E8" w:rsidP="00827099">
      <w:pPr>
        <w:spacing w:after="0" w:line="480" w:lineRule="auto"/>
        <w:ind w:firstLine="720"/>
      </w:pPr>
      <w:r>
        <w:t xml:space="preserve">When Christ first began theological education with two bewildered and heart-broken students on the road to Emmaus, he began a conversation that he still carries on with all those who walk with him, who try to fathom the portent of his death, and find in his presence the amazement of his rising.  Beyond all methodologies and contexts, </w:t>
      </w:r>
      <w:r w:rsidR="00D20D53">
        <w:t>theological education means entering into that conversation with Christ, Teacher and Lord.</w:t>
      </w:r>
    </w:p>
    <w:p w:rsidR="00D20D53" w:rsidRDefault="00D20D53" w:rsidP="00827099">
      <w:pPr>
        <w:spacing w:after="0" w:line="480" w:lineRule="auto"/>
        <w:ind w:firstLine="720"/>
      </w:pPr>
      <w:r>
        <w:t xml:space="preserve">The tutor is a student in the school of Messiah.  His theology is simply what the Master speaks; the education he offers is simply to compare notes with other of Messiah’s students.  “Among...companions of </w:t>
      </w:r>
      <w:proofErr w:type="gramStart"/>
      <w:r>
        <w:lastRenderedPageBreak/>
        <w:t>Jesus,”</w:t>
      </w:r>
      <w:proofErr w:type="gramEnd"/>
      <w:r>
        <w:t xml:space="preserve"> wrote Frederick </w:t>
      </w:r>
      <w:proofErr w:type="spellStart"/>
      <w:r>
        <w:t>Guyette</w:t>
      </w:r>
      <w:proofErr w:type="spellEnd"/>
      <w:r>
        <w:t xml:space="preserve">, “no one’s faith may any longer </w:t>
      </w:r>
      <w:r w:rsidR="008369E4">
        <w:t xml:space="preserve">resemble </w:t>
      </w:r>
      <w:r>
        <w:t>a neatly packaged educational object, but, instead, it will begin to look much more like a journey undertaken with friends.”</w:t>
      </w:r>
      <w:r>
        <w:rPr>
          <w:rStyle w:val="FootnoteReference"/>
        </w:rPr>
        <w:footnoteReference w:id="6"/>
      </w:r>
    </w:p>
    <w:p w:rsidR="001A594F" w:rsidRDefault="001A594F" w:rsidP="00827099">
      <w:pPr>
        <w:spacing w:after="0" w:line="480" w:lineRule="auto"/>
        <w:ind w:firstLine="720"/>
      </w:pPr>
      <w:r>
        <w:t xml:space="preserve">With this understanding, </w:t>
      </w:r>
      <w:proofErr w:type="spellStart"/>
      <w:r>
        <w:t>Guyette</w:t>
      </w:r>
      <w:proofErr w:type="spellEnd"/>
      <w:r>
        <w:t xml:space="preserve"> raises pointed questions for the theological tutor: “Do our forms of theological education encourage those we teach to grow as ‘friends of God’?  Have we also committed ourselves to growing with them?”</w:t>
      </w:r>
      <w:r>
        <w:rPr>
          <w:rStyle w:val="FootnoteReference"/>
        </w:rPr>
        <w:footnoteReference w:id="7"/>
      </w:r>
    </w:p>
    <w:p w:rsidR="001A594F" w:rsidRDefault="001A594F" w:rsidP="00827099">
      <w:pPr>
        <w:spacing w:after="0" w:line="480" w:lineRule="auto"/>
        <w:ind w:firstLine="720"/>
      </w:pPr>
      <w:r>
        <w:t xml:space="preserve">If the theological tutor is to answer in the affirmative, there are four questions he must ask, of his students and of himself.  These are questions to be asked simultaneously, all the way along this “journey undertaken with friends.”  They are questions pertaining to both the theological and the educational aspects of his role.  </w:t>
      </w:r>
      <w:r w:rsidR="0015442D">
        <w:t>And, as in all else, they are found through watching the Master.  They are the questions of the Emmaus Road.</w:t>
      </w:r>
    </w:p>
    <w:p w:rsidR="00827099" w:rsidRDefault="00827099" w:rsidP="00827099">
      <w:pPr>
        <w:spacing w:after="0" w:line="480" w:lineRule="auto"/>
        <w:ind w:firstLine="720"/>
        <w:rPr>
          <w:b/>
        </w:rPr>
      </w:pPr>
    </w:p>
    <w:p w:rsidR="00FC095A" w:rsidRPr="00FC095A" w:rsidRDefault="00FC095A" w:rsidP="00827099">
      <w:pPr>
        <w:spacing w:after="0" w:line="480" w:lineRule="auto"/>
        <w:rPr>
          <w:b/>
        </w:rPr>
      </w:pPr>
      <w:r>
        <w:rPr>
          <w:b/>
        </w:rPr>
        <w:t>Context: Where are you from?</w:t>
      </w:r>
    </w:p>
    <w:p w:rsidR="00172DE6" w:rsidRDefault="00A706F0" w:rsidP="00827099">
      <w:pPr>
        <w:spacing w:after="0" w:line="480" w:lineRule="auto"/>
        <w:ind w:firstLine="720"/>
      </w:pPr>
      <w:r>
        <w:t>Theological education does not happen in a vacuum.</w:t>
      </w:r>
      <w:r w:rsidR="00E707AE">
        <w:rPr>
          <w:rStyle w:val="FootnoteReference"/>
        </w:rPr>
        <w:footnoteReference w:id="8"/>
      </w:r>
      <w:r>
        <w:t xml:space="preserve">  When the tutor faces the clustered students, attentive or bored, alert or </w:t>
      </w:r>
      <w:r w:rsidR="00A67894">
        <w:t>dozing</w:t>
      </w:r>
      <w:r>
        <w:t xml:space="preserve">, each individual in front of her carries a </w:t>
      </w:r>
      <w:r w:rsidR="00E707AE">
        <w:t>burden of experience, a pattern of life, through which they will understand her words.  The tutor does not only have to interact with the students for the moments they are in her classroom.  By interacting with them at all, she is interacting with every moment they have lived before.</w:t>
      </w:r>
      <w:r w:rsidR="00186D27">
        <w:rPr>
          <w:rStyle w:val="FootnoteReference"/>
        </w:rPr>
        <w:footnoteReference w:id="9"/>
      </w:r>
      <w:r w:rsidR="00186D27">
        <w:t xml:space="preserve">  </w:t>
      </w:r>
      <w:r w:rsidR="00E707AE">
        <w:t xml:space="preserve">  </w:t>
      </w:r>
    </w:p>
    <w:p w:rsidR="00172DE6" w:rsidRDefault="00172DE6" w:rsidP="00827099">
      <w:pPr>
        <w:spacing w:after="0" w:line="480" w:lineRule="auto"/>
        <w:ind w:firstLine="720"/>
      </w:pPr>
      <w:r>
        <w:t>On the Emmaus Road, Jesus asked, “What are these words that you are discussing while you walk?”</w:t>
      </w:r>
      <w:r>
        <w:rPr>
          <w:rStyle w:val="FootnoteReference"/>
        </w:rPr>
        <w:footnoteReference w:id="10"/>
      </w:r>
      <w:r>
        <w:t xml:space="preserve">  The question opened the past conversation between the disciples into a new conversation with the Master.  But the conversation would have no value at all if the experiences of the disciples – the shattering event of the previous days – had not been taken into account.</w:t>
      </w:r>
    </w:p>
    <w:p w:rsidR="00A706F0" w:rsidRDefault="00172DE6" w:rsidP="00827099">
      <w:pPr>
        <w:spacing w:after="0" w:line="480" w:lineRule="auto"/>
        <w:ind w:firstLine="720"/>
      </w:pPr>
      <w:r>
        <w:t xml:space="preserve">So the first question the tutor must ask the student is this: “Where are you from?”  </w:t>
      </w:r>
      <w:r w:rsidR="001A4D4F">
        <w:t>Rather than</w:t>
      </w:r>
      <w:r>
        <w:t xml:space="preserve"> a question of geographical location, it is an invitation to allow the tutor not only into the present moment, but </w:t>
      </w:r>
      <w:r>
        <w:lastRenderedPageBreak/>
        <w:t xml:space="preserve">the past moments as well.  It opens the previous conversations of the students, to bring them into a new conversation with the tutor. </w:t>
      </w:r>
      <w:r w:rsidR="009E3B76">
        <w:t>As Vincent Donovan observed, people must be met “where they are, not where you would like them to be.”</w:t>
      </w:r>
      <w:r w:rsidR="00524C12">
        <w:rPr>
          <w:rStyle w:val="FootnoteReference"/>
        </w:rPr>
        <w:footnoteReference w:id="11"/>
      </w:r>
      <w:r>
        <w:t xml:space="preserve"> </w:t>
      </w:r>
      <w:r w:rsidR="00524C12">
        <w:t xml:space="preserve"> T</w:t>
      </w:r>
      <w:r>
        <w:t>heological education begins not with instruction, but with mutual understanding.</w:t>
      </w:r>
      <w:r>
        <w:rPr>
          <w:rStyle w:val="FootnoteReference"/>
        </w:rPr>
        <w:footnoteReference w:id="12"/>
      </w:r>
    </w:p>
    <w:p w:rsidR="00D60080" w:rsidRDefault="00186D27" w:rsidP="00827099">
      <w:pPr>
        <w:spacing w:after="0" w:line="480" w:lineRule="auto"/>
        <w:ind w:firstLine="720"/>
      </w:pPr>
      <w:r>
        <w:t xml:space="preserve">Too often, theological education has ignored the past </w:t>
      </w:r>
      <w:r w:rsidR="00110165">
        <w:t>experience</w:t>
      </w:r>
      <w:r>
        <w:t xml:space="preserve"> of the students.  </w:t>
      </w:r>
      <w:r w:rsidR="00110165">
        <w:t>Andrew Kirk writes, “It almost seems as if [such programmes] were saying that to learn theology one muse start with a blank mind.  This is a pedagogical approach, which is not even practiced in the earliest years of primary schools.”</w:t>
      </w:r>
      <w:r w:rsidR="00110165">
        <w:rPr>
          <w:rStyle w:val="FootnoteReference"/>
        </w:rPr>
        <w:footnoteReference w:id="13"/>
      </w:r>
      <w:r w:rsidR="00E069A2">
        <w:t xml:space="preserve">  </w:t>
      </w:r>
      <w:r w:rsidR="00363C80">
        <w:t>Instead of propagating this “elitist” understanding of education, the theological tutor needs to acknowledge the values and uniqueness of the students and their contexts.</w:t>
      </w:r>
      <w:r w:rsidR="00363C80">
        <w:rPr>
          <w:rStyle w:val="FootnoteReference"/>
        </w:rPr>
        <w:footnoteReference w:id="14"/>
      </w:r>
    </w:p>
    <w:p w:rsidR="00D60080" w:rsidRDefault="00D60080" w:rsidP="00827099">
      <w:pPr>
        <w:spacing w:after="0" w:line="480" w:lineRule="auto"/>
        <w:ind w:firstLine="720"/>
      </w:pPr>
      <w:r>
        <w:t xml:space="preserve">It is crucial that the tutor </w:t>
      </w:r>
      <w:r w:rsidR="00363C80">
        <w:t>interact with</w:t>
      </w:r>
      <w:r>
        <w:t xml:space="preserve"> the past experiences of the students.  They are part of the student, and as such part of their educational experience.  Alan Rogers explains that </w:t>
      </w:r>
      <w:r w:rsidR="001A4D4F">
        <w:t>the whole person, how they understand themselves and their past, enters into the learning experience.  “</w:t>
      </w:r>
      <w:r>
        <w:t>People differ—in learning as in everything else.”</w:t>
      </w:r>
      <w:r>
        <w:rPr>
          <w:rStyle w:val="FootnoteReference"/>
        </w:rPr>
        <w:footnoteReference w:id="15"/>
      </w:r>
    </w:p>
    <w:p w:rsidR="00172DE6" w:rsidRDefault="00A67894" w:rsidP="00827099">
      <w:pPr>
        <w:spacing w:after="0" w:line="480" w:lineRule="auto"/>
        <w:ind w:firstLine="720"/>
      </w:pPr>
      <w:r>
        <w:t xml:space="preserve">An individual may be </w:t>
      </w:r>
      <w:r w:rsidR="00172DE6">
        <w:t>“</w:t>
      </w:r>
      <w:r>
        <w:t>a new student</w:t>
      </w:r>
      <w:r w:rsidR="00172DE6">
        <w:t>”</w:t>
      </w:r>
      <w:r>
        <w:t>, Rogers</w:t>
      </w:r>
      <w:r w:rsidR="00172DE6">
        <w:t xml:space="preserve"> said, but she will not be “a new person.”  She will have already poured her emotion into the formation of set values and prejudices, approaching the world in general and the subject in particular with a sharply defined worldview, even if it is subconscious. When the </w:t>
      </w:r>
      <w:r w:rsidR="001A4D4F">
        <w:t xml:space="preserve">teacher disregards or disrespects </w:t>
      </w:r>
      <w:r w:rsidR="00172DE6">
        <w:t>these experiences, the student will feel that she herself has been brushed aside.</w:t>
      </w:r>
      <w:r w:rsidR="00172DE6" w:rsidRPr="00172DE6">
        <w:rPr>
          <w:rStyle w:val="FootnoteReference"/>
        </w:rPr>
        <w:t xml:space="preserve"> </w:t>
      </w:r>
      <w:r w:rsidR="00172DE6">
        <w:rPr>
          <w:rStyle w:val="FootnoteReference"/>
        </w:rPr>
        <w:footnoteReference w:id="16"/>
      </w:r>
      <w:r w:rsidR="001A4D4F">
        <w:t xml:space="preserve">  </w:t>
      </w:r>
      <w:r w:rsidR="00172DE6">
        <w:t>If the student is not able to speak, she will not listen.</w:t>
      </w:r>
    </w:p>
    <w:p w:rsidR="00F67957" w:rsidRDefault="00F67957" w:rsidP="00827099">
      <w:pPr>
        <w:spacing w:after="0" w:line="480" w:lineRule="auto"/>
        <w:ind w:firstLine="720"/>
      </w:pPr>
      <w:r>
        <w:t>The tutor must enter into conversation with the full context of the student, Rogers says.  This context provides the direct analytic grid through which the student understands and relates to this tutor</w:t>
      </w:r>
      <w:r w:rsidR="000A098E">
        <w:t>; what the tutor is teaching may in fact be startlingly different than what the student is learning</w:t>
      </w:r>
      <w:r>
        <w:t>.</w:t>
      </w:r>
      <w:r>
        <w:rPr>
          <w:rStyle w:val="FootnoteReference"/>
        </w:rPr>
        <w:footnoteReference w:id="17"/>
      </w:r>
      <w:r w:rsidR="000A098E">
        <w:t xml:space="preserve">  The student’s past experience contains both the potential for him to embrace the subject and begin the exploration of self-</w:t>
      </w:r>
      <w:r w:rsidR="000A098E">
        <w:lastRenderedPageBreak/>
        <w:t>learning, and unspoken or unknown barriers to any learning at all.  When the tutor engages the students with respect and humility, genuinely asking “Where are you from?” and taking time to listen, the interaction of their past experiences and different context</w:t>
      </w:r>
      <w:r w:rsidR="007D04EF">
        <w:t>s</w:t>
      </w:r>
      <w:r w:rsidR="000A098E">
        <w:t xml:space="preserve"> results in the enrichment and growth of the entire class.</w:t>
      </w:r>
      <w:r w:rsidR="000A098E">
        <w:rPr>
          <w:rStyle w:val="FootnoteReference"/>
        </w:rPr>
        <w:footnoteReference w:id="18"/>
      </w:r>
    </w:p>
    <w:p w:rsidR="00051E9D" w:rsidRDefault="00352FE1" w:rsidP="00827099">
      <w:pPr>
        <w:spacing w:after="0" w:line="480" w:lineRule="auto"/>
        <w:ind w:firstLine="720"/>
      </w:pPr>
      <w:r>
        <w:t xml:space="preserve">Even the manner the student chooses to reveal her prior travels can reveal </w:t>
      </w:r>
      <w:r w:rsidR="001C43E6">
        <w:t xml:space="preserve">who much of she is.  Anne </w:t>
      </w:r>
      <w:proofErr w:type="spellStart"/>
      <w:r w:rsidR="001C43E6">
        <w:t>Streaty</w:t>
      </w:r>
      <w:proofErr w:type="spellEnd"/>
      <w:r w:rsidR="001C43E6">
        <w:t xml:space="preserve"> </w:t>
      </w:r>
      <w:proofErr w:type="spellStart"/>
      <w:r w:rsidR="001C43E6">
        <w:t>Wimberly</w:t>
      </w:r>
      <w:proofErr w:type="spellEnd"/>
      <w:r w:rsidR="001C43E6">
        <w:t xml:space="preserve"> explains, “I invite students to decide on a personal way of introducing themselves that is comfortable for them.  For example, this self-introduction may be through the use of a book, song, poetry, rap, </w:t>
      </w:r>
      <w:proofErr w:type="gramStart"/>
      <w:r w:rsidR="001C43E6">
        <w:t>self</w:t>
      </w:r>
      <w:proofErr w:type="gramEnd"/>
      <w:r w:rsidR="001C43E6">
        <w:t>-portrait.”</w:t>
      </w:r>
      <w:r w:rsidR="001C43E6">
        <w:rPr>
          <w:rStyle w:val="FootnoteReference"/>
        </w:rPr>
        <w:footnoteReference w:id="19"/>
      </w:r>
      <w:r w:rsidR="001C43E6">
        <w:t xml:space="preserve">  </w:t>
      </w:r>
    </w:p>
    <w:p w:rsidR="00352FE1" w:rsidRDefault="00DE6E20" w:rsidP="00827099">
      <w:pPr>
        <w:spacing w:after="0" w:line="480" w:lineRule="auto"/>
        <w:ind w:firstLine="720"/>
      </w:pPr>
      <w:r>
        <w:t>A student may tell more about himself by playing a Chopin Nocturne for the class than by briefly stating his name and major.  The medium of communication chosen reveals to the perceptive tutor something of the nature of the cultural context the student comes from, and where he likely finds an identity he is trying to embrace, or to transcend.</w:t>
      </w:r>
      <w:r>
        <w:rPr>
          <w:rStyle w:val="FootnoteReference"/>
        </w:rPr>
        <w:footnoteReference w:id="20"/>
      </w:r>
      <w:r w:rsidR="007D04EF" w:rsidRPr="007D04EF">
        <w:t xml:space="preserve"> </w:t>
      </w:r>
      <w:r w:rsidR="007D04EF">
        <w:t xml:space="preserve"> The dignity of the individual context should be afforded the dignity of individual expression.  </w:t>
      </w:r>
    </w:p>
    <w:p w:rsidR="00E07F8C" w:rsidRDefault="00DE6E20" w:rsidP="00827099">
      <w:pPr>
        <w:spacing w:after="0" w:line="480" w:lineRule="auto"/>
        <w:ind w:firstLine="720"/>
      </w:pPr>
      <w:r>
        <w:t xml:space="preserve">The tutor must not make the mistake, however, that his students will share a similar context with him, or with each other.  </w:t>
      </w:r>
      <w:r w:rsidR="007737E3">
        <w:t xml:space="preserve">Cultures, sub-cultures, generations, social strata, socio-historical events join countless other influences to shape </w:t>
      </w:r>
      <w:r w:rsidR="00E07F8C">
        <w:t>each</w:t>
      </w:r>
      <w:r w:rsidR="007737E3">
        <w:t xml:space="preserve"> individual.  </w:t>
      </w:r>
      <w:r w:rsidR="003A432F">
        <w:t xml:space="preserve">Their motivations for theological study, the questions they ask of life and the </w:t>
      </w:r>
      <w:proofErr w:type="gramStart"/>
      <w:r w:rsidR="003A432F">
        <w:t>Word,</w:t>
      </w:r>
      <w:proofErr w:type="gramEnd"/>
      <w:r w:rsidR="003A432F">
        <w:t xml:space="preserve"> may be markedly different from those of the tutor.</w:t>
      </w:r>
      <w:r w:rsidR="003A432F">
        <w:rPr>
          <w:rStyle w:val="FootnoteReference"/>
        </w:rPr>
        <w:footnoteReference w:id="21"/>
      </w:r>
      <w:r w:rsidR="003A432F">
        <w:t xml:space="preserve">  </w:t>
      </w:r>
    </w:p>
    <w:p w:rsidR="00DE6E20" w:rsidRDefault="007737E3" w:rsidP="00827099">
      <w:pPr>
        <w:spacing w:after="0" w:line="480" w:lineRule="auto"/>
        <w:ind w:firstLine="720"/>
      </w:pPr>
      <w:r>
        <w:t xml:space="preserve">A white professor who remembers having a crush on Elvis when she was secondary school may find it challenging to </w:t>
      </w:r>
      <w:r w:rsidR="007D04EF">
        <w:t>empathize with</w:t>
      </w:r>
      <w:r>
        <w:t xml:space="preserve"> her young Latino student who listens to </w:t>
      </w:r>
      <w:r w:rsidR="009B52FA">
        <w:t xml:space="preserve">50 </w:t>
      </w:r>
      <w:r>
        <w:t xml:space="preserve">Cent.  The suburban kid </w:t>
      </w:r>
      <w:r w:rsidR="00606C50">
        <w:t>equipped with the latest iPod from Tesco may find he has a lot to learn about the world from his black professor, who marched in Alabama with Martin Luther King, Jr.</w:t>
      </w:r>
      <w:r w:rsidR="000A098E">
        <w:t xml:space="preserve">  </w:t>
      </w:r>
    </w:p>
    <w:p w:rsidR="000E6A6F" w:rsidRDefault="009B52FA" w:rsidP="00827099">
      <w:pPr>
        <w:spacing w:after="0" w:line="480" w:lineRule="auto"/>
        <w:ind w:firstLine="720"/>
      </w:pPr>
      <w:r>
        <w:t>But the</w:t>
      </w:r>
      <w:r w:rsidR="00606C50">
        <w:t xml:space="preserve"> tutor </w:t>
      </w:r>
      <w:r>
        <w:t xml:space="preserve">will not </w:t>
      </w:r>
      <w:r w:rsidR="00606C50">
        <w:t xml:space="preserve">always find that the context his students come from will be positive influences.  A tutor may find that his first responsibility is to help the students leave their contexts behind, or understand them in a new way.  Jack Hill remarks that “the majority of my students hailed from high schools that had not </w:t>
      </w:r>
      <w:r w:rsidR="00606C50">
        <w:lastRenderedPageBreak/>
        <w:t>challenged them to think beyond the tribal status quo.</w:t>
      </w:r>
      <w:r w:rsidR="003A432F">
        <w:t>”</w:t>
      </w:r>
      <w:r w:rsidR="003A432F">
        <w:rPr>
          <w:rStyle w:val="FootnoteReference"/>
        </w:rPr>
        <w:footnoteReference w:id="22"/>
      </w:r>
      <w:r w:rsidR="003A432F">
        <w:t xml:space="preserve">  </w:t>
      </w:r>
      <w:r w:rsidR="007D04EF">
        <w:t xml:space="preserve">Fr. </w:t>
      </w:r>
      <w:r w:rsidR="00145410">
        <w:t>Michael Battle</w:t>
      </w:r>
      <w:r w:rsidR="00C42B40">
        <w:t xml:space="preserve"> tells the story of a student who found the courage to tell the class about “her survival of an attempted rape”.</w:t>
      </w:r>
      <w:r w:rsidR="00C42B40">
        <w:rPr>
          <w:rStyle w:val="FootnoteReference"/>
        </w:rPr>
        <w:footnoteReference w:id="23"/>
      </w:r>
      <w:r w:rsidR="00C42B40">
        <w:t xml:space="preserve">  </w:t>
      </w:r>
    </w:p>
    <w:p w:rsidR="00FC095A" w:rsidRDefault="000E6A6F" w:rsidP="00827099">
      <w:pPr>
        <w:spacing w:after="0" w:line="480" w:lineRule="auto"/>
        <w:ind w:firstLine="720"/>
      </w:pPr>
      <w:r>
        <w:t xml:space="preserve">The tutor must understand where the students are from, but he must not be content to leave them there. </w:t>
      </w:r>
      <w:r w:rsidR="00C42B40">
        <w:t>It is to Hill’s credit that he work</w:t>
      </w:r>
      <w:r w:rsidR="00E07F8C">
        <w:t>s</w:t>
      </w:r>
      <w:r w:rsidR="00C42B40">
        <w:t xml:space="preserve"> diligently to open his students to a broader understanding than their suburban evangelical tribalism; it is to </w:t>
      </w:r>
      <w:r w:rsidR="00145410">
        <w:t>Battle’s</w:t>
      </w:r>
      <w:r w:rsidR="00C42B40">
        <w:t xml:space="preserve"> </w:t>
      </w:r>
      <w:r w:rsidR="007D04EF">
        <w:t xml:space="preserve">credit </w:t>
      </w:r>
      <w:r w:rsidR="00C42B40">
        <w:t xml:space="preserve">that </w:t>
      </w:r>
      <w:r w:rsidR="00145410">
        <w:t>he</w:t>
      </w:r>
      <w:r w:rsidR="00C42B40">
        <w:t xml:space="preserve"> and </w:t>
      </w:r>
      <w:r w:rsidR="00145410">
        <w:t>his</w:t>
      </w:r>
      <w:r w:rsidR="00C42B40">
        <w:t xml:space="preserve"> class rallied around the heart-broken student, allowing healing and transformation to </w:t>
      </w:r>
      <w:r>
        <w:t>touch them all.</w:t>
      </w:r>
      <w:r>
        <w:rPr>
          <w:rStyle w:val="FootnoteReference"/>
        </w:rPr>
        <w:footnoteReference w:id="24"/>
      </w:r>
    </w:p>
    <w:p w:rsidR="00827099" w:rsidRDefault="00827099" w:rsidP="00827099">
      <w:pPr>
        <w:spacing w:after="0" w:line="480" w:lineRule="auto"/>
        <w:rPr>
          <w:b/>
        </w:rPr>
      </w:pPr>
    </w:p>
    <w:p w:rsidR="007D04EF" w:rsidRPr="00FC095A" w:rsidRDefault="007D04EF" w:rsidP="00827099">
      <w:pPr>
        <w:spacing w:after="0" w:line="480" w:lineRule="auto"/>
        <w:rPr>
          <w:b/>
        </w:rPr>
      </w:pPr>
      <w:r>
        <w:rPr>
          <w:b/>
        </w:rPr>
        <w:t>Dialogue: What do you see?</w:t>
      </w:r>
    </w:p>
    <w:p w:rsidR="00FC095A" w:rsidRDefault="00FC095A" w:rsidP="00827099">
      <w:pPr>
        <w:spacing w:after="0" w:line="480" w:lineRule="auto"/>
        <w:ind w:firstLine="720"/>
      </w:pPr>
      <w:r>
        <w:t>This sort of disclosure of con</w:t>
      </w:r>
      <w:r w:rsidR="007D04EF">
        <w:t>text can be frightening, both for</w:t>
      </w:r>
      <w:r>
        <w:t xml:space="preserve"> the tutor and the student.</w:t>
      </w:r>
      <w:r>
        <w:rPr>
          <w:rStyle w:val="FootnoteReference"/>
        </w:rPr>
        <w:footnoteReference w:id="25"/>
      </w:r>
      <w:r>
        <w:t xml:space="preserve">  Such disclosure demands trust, and trust can only be built with time; a total understanding of context will not appear in a few minutes of pre-lecture discussion.  It is easier, certainly, to simply lecture at the students and let them glean what understanding they can.  As Parker Palmer said, “The conventional pedagogy persists because it conveys a view of reality that simplifies our lives.”</w:t>
      </w:r>
      <w:r>
        <w:rPr>
          <w:rStyle w:val="FootnoteReference"/>
        </w:rPr>
        <w:footnoteReference w:id="26"/>
      </w:r>
    </w:p>
    <w:p w:rsidR="009B52FA" w:rsidRDefault="009B52FA" w:rsidP="00827099">
      <w:pPr>
        <w:spacing w:after="0" w:line="480" w:lineRule="auto"/>
        <w:ind w:firstLine="720"/>
      </w:pPr>
      <w:r>
        <w:t xml:space="preserve">Simple disclosure of context is not education, theological or otherwise.  </w:t>
      </w:r>
      <w:r w:rsidR="00D91050">
        <w:t xml:space="preserve">The question “Where are you from?” must lead to further questions.  </w:t>
      </w:r>
      <w:proofErr w:type="gramStart"/>
      <w:r w:rsidR="00D91050">
        <w:t>Jesus’ innocuous</w:t>
      </w:r>
      <w:r w:rsidR="00013FF8">
        <w:t xml:space="preserve"> and seemingly surprised </w:t>
      </w:r>
      <w:r w:rsidR="00D91050">
        <w:t>response to the disciples – “What?”</w:t>
      </w:r>
      <w:proofErr w:type="gramEnd"/>
      <w:r w:rsidR="00C64379">
        <w:t xml:space="preserve"> </w:t>
      </w:r>
      <w:r w:rsidR="00D91050">
        <w:t xml:space="preserve">– opened </w:t>
      </w:r>
      <w:r w:rsidR="00C64379">
        <w:t>them to dialogue.</w:t>
      </w:r>
      <w:r w:rsidR="00C64379" w:rsidRPr="00C64379">
        <w:rPr>
          <w:rStyle w:val="FootnoteReference"/>
        </w:rPr>
        <w:t xml:space="preserve"> </w:t>
      </w:r>
      <w:r w:rsidR="00C64379">
        <w:rPr>
          <w:rStyle w:val="FootnoteReference"/>
        </w:rPr>
        <w:footnoteReference w:id="27"/>
      </w:r>
      <w:r w:rsidR="00C64379">
        <w:t xml:space="preserve">  He not only heard about their context, he entered into it.  The second question the theological tutor must ask of the students is, “What do you see?”</w:t>
      </w:r>
    </w:p>
    <w:p w:rsidR="00E26AFE" w:rsidRDefault="00013FF8" w:rsidP="00827099">
      <w:pPr>
        <w:spacing w:after="0" w:line="480" w:lineRule="auto"/>
        <w:ind w:firstLine="720"/>
      </w:pPr>
      <w:r>
        <w:t xml:space="preserve">“We learn on the borders,” said </w:t>
      </w:r>
      <w:proofErr w:type="spellStart"/>
      <w:r>
        <w:t>Einike</w:t>
      </w:r>
      <w:proofErr w:type="spellEnd"/>
      <w:r>
        <w:t xml:space="preserve"> Pilli, “we learn when we meet the different, the unknown.  True learning happens in the meeting point of different people, different context, and different opinion.  Dialogue can lead to deeper understanding and knowledge.  To meet, we need to dialogue.”</w:t>
      </w:r>
      <w:r>
        <w:rPr>
          <w:rStyle w:val="FootnoteReference"/>
        </w:rPr>
        <w:footnoteReference w:id="28"/>
      </w:r>
    </w:p>
    <w:p w:rsidR="00B77A78" w:rsidRDefault="00013FF8" w:rsidP="00827099">
      <w:pPr>
        <w:spacing w:after="0" w:line="480" w:lineRule="auto"/>
        <w:ind w:firstLine="720"/>
      </w:pPr>
      <w:r>
        <w:t xml:space="preserve">The tutor should employ the </w:t>
      </w:r>
      <w:r w:rsidR="00E00FA8">
        <w:t xml:space="preserve">past experiences of the student with the present circumstance of learning in a creative dialogue that allows the students to </w:t>
      </w:r>
      <w:r w:rsidR="00B77A78">
        <w:t xml:space="preserve">participate in their own education.  More than passive receptors of information, they become learners, searchers – no longer guests of </w:t>
      </w:r>
      <w:proofErr w:type="spellStart"/>
      <w:r w:rsidR="00B77A78">
        <w:t>Procrusteus</w:t>
      </w:r>
      <w:proofErr w:type="spellEnd"/>
      <w:r w:rsidR="00B77A78">
        <w:t xml:space="preserve">, but Argonauts.  </w:t>
      </w:r>
    </w:p>
    <w:p w:rsidR="00013FF8" w:rsidRDefault="00B77A78" w:rsidP="00827099">
      <w:pPr>
        <w:spacing w:after="0" w:line="480" w:lineRule="auto"/>
        <w:ind w:firstLine="720"/>
      </w:pPr>
      <w:r>
        <w:lastRenderedPageBreak/>
        <w:t>“Students who discuss their own experiences in class are rarely being irrelevant,” Rogers says, “they are almost always working on the new material, exploring it in relation to their existing knowledge.”</w:t>
      </w:r>
      <w:r>
        <w:rPr>
          <w:rStyle w:val="FootnoteReference"/>
        </w:rPr>
        <w:footnoteReference w:id="29"/>
      </w:r>
      <w:r>
        <w:t xml:space="preserve"> </w:t>
      </w:r>
    </w:p>
    <w:p w:rsidR="008525DB" w:rsidRDefault="00CE3CB7" w:rsidP="00827099">
      <w:pPr>
        <w:spacing w:after="0" w:line="480" w:lineRule="auto"/>
        <w:ind w:firstLine="720"/>
      </w:pPr>
      <w:r>
        <w:t xml:space="preserve">True dialogue, the encounter with the other, should not for a moment be confused with </w:t>
      </w:r>
      <w:r w:rsidR="001F7522">
        <w:t>mere</w:t>
      </w:r>
      <w:r>
        <w:t xml:space="preserve"> chat – a group of Calvinists in a room, cheerfully agreeing with each other how wrong-headed </w:t>
      </w:r>
      <w:proofErr w:type="spellStart"/>
      <w:r>
        <w:t>Arminianism</w:t>
      </w:r>
      <w:proofErr w:type="spellEnd"/>
      <w:r>
        <w:t xml:space="preserve"> is</w:t>
      </w:r>
      <w:r w:rsidR="001F7522">
        <w:t xml:space="preserve"> (which often erroneously passes for theological education)</w:t>
      </w:r>
      <w:r>
        <w:t xml:space="preserve">.  That is not dialectic; that is self-deception.  </w:t>
      </w:r>
    </w:p>
    <w:p w:rsidR="00B77A78" w:rsidRDefault="00CE3CB7" w:rsidP="00827099">
      <w:pPr>
        <w:spacing w:after="0" w:line="480" w:lineRule="auto"/>
        <w:ind w:firstLine="720"/>
      </w:pPr>
      <w:r>
        <w:t xml:space="preserve">For a true dialectic, there must first of all be, as Susan </w:t>
      </w:r>
      <w:proofErr w:type="spellStart"/>
      <w:r>
        <w:t>Simonantis</w:t>
      </w:r>
      <w:proofErr w:type="spellEnd"/>
      <w:r>
        <w:t xml:space="preserve"> points out, “an ethic of conflict”</w:t>
      </w:r>
      <w:r w:rsidR="008525DB">
        <w:t>, as respectful attentiveness and expectation to honestly differ</w:t>
      </w:r>
      <w:r>
        <w:t xml:space="preserve"> which “requires us to pay attention, to hear others </w:t>
      </w:r>
      <w:r>
        <w:rPr>
          <w:i/>
        </w:rPr>
        <w:t>as</w:t>
      </w:r>
      <w:r>
        <w:t xml:space="preserve"> other, the different </w:t>
      </w:r>
      <w:r>
        <w:rPr>
          <w:i/>
        </w:rPr>
        <w:t>as</w:t>
      </w:r>
      <w:r>
        <w:t xml:space="preserve"> possible.”</w:t>
      </w:r>
      <w:r>
        <w:rPr>
          <w:rStyle w:val="FootnoteReference"/>
        </w:rPr>
        <w:footnoteReference w:id="30"/>
      </w:r>
      <w:r>
        <w:t xml:space="preserve">  </w:t>
      </w:r>
      <w:r w:rsidR="00D2382D">
        <w:t>Truth and understand</w:t>
      </w:r>
      <w:r w:rsidR="00F31674">
        <w:t>ing</w:t>
      </w:r>
      <w:r w:rsidR="00D2382D">
        <w:t xml:space="preserve"> will not be born without honest struggle.</w:t>
      </w:r>
      <w:r w:rsidR="00D2382D">
        <w:rPr>
          <w:rStyle w:val="FootnoteReference"/>
        </w:rPr>
        <w:footnoteReference w:id="31"/>
      </w:r>
      <w:r w:rsidR="00D2382D">
        <w:t xml:space="preserve">  </w:t>
      </w:r>
      <w:r>
        <w:t>It is only with the willingness to admit that the other may be right – even with the willingness of the tutor to admit that the student may be right – that true dialogue can begin.</w:t>
      </w:r>
    </w:p>
    <w:p w:rsidR="00425D03" w:rsidRDefault="00051E9D" w:rsidP="00827099">
      <w:pPr>
        <w:spacing w:after="0" w:line="480" w:lineRule="auto"/>
        <w:ind w:firstLine="720"/>
      </w:pPr>
      <w:r>
        <w:t>With the ethic of conflict comes the “ethic of care”</w:t>
      </w:r>
      <w:r w:rsidR="00425D03">
        <w:t>.</w:t>
      </w:r>
      <w:r>
        <w:rPr>
          <w:rStyle w:val="FootnoteReference"/>
        </w:rPr>
        <w:footnoteReference w:id="32"/>
      </w:r>
      <w:r>
        <w:t xml:space="preserve"> </w:t>
      </w:r>
      <w:r w:rsidR="00425D03">
        <w:t>Differences in individual context and learning style receive true consideration and respect.  Conflict does not exist for its own sake, or in isolation.  As discussed further below, the whole person is brought into the conversation; the tutor approaches the dialogue with genuine concern and sensitivity for his students, they for one another.</w:t>
      </w:r>
      <w:r w:rsidR="00D41EDA">
        <w:rPr>
          <w:rStyle w:val="FootnoteReference"/>
        </w:rPr>
        <w:footnoteReference w:id="33"/>
      </w:r>
      <w:r w:rsidR="00425D03">
        <w:t xml:space="preserve">  </w:t>
      </w:r>
    </w:p>
    <w:p w:rsidR="00051E9D" w:rsidRDefault="00F31674" w:rsidP="00827099">
      <w:pPr>
        <w:spacing w:after="0" w:line="480" w:lineRule="auto"/>
        <w:ind w:firstLine="720"/>
      </w:pPr>
      <w:r>
        <w:t>The “ethic of care”</w:t>
      </w:r>
      <w:r w:rsidR="00425D03">
        <w:t xml:space="preserve"> not only includes a listening ear to the dialogue, but a commitment to excellence </w:t>
      </w:r>
      <w:r>
        <w:t xml:space="preserve">in </w:t>
      </w:r>
      <w:r w:rsidR="00425D03">
        <w:t>teaching and learning, fostering desire to facilitate the dialogue with the students and the subject.</w:t>
      </w:r>
      <w:r w:rsidR="00D41EDA">
        <w:t xml:space="preserve">  A commitment to academic excellence,</w:t>
      </w:r>
      <w:r w:rsidR="00263184">
        <w:t xml:space="preserve"> without a rigid adherence to a</w:t>
      </w:r>
      <w:r w:rsidR="00D41EDA">
        <w:t xml:space="preserve"> set academic method, allows the tutor to facilitate genuine learning in the students without disrespecting their uniqueness as individuals.</w:t>
      </w:r>
      <w:r w:rsidR="00D41EDA">
        <w:rPr>
          <w:rStyle w:val="FootnoteReference"/>
        </w:rPr>
        <w:footnoteReference w:id="34"/>
      </w:r>
    </w:p>
    <w:p w:rsidR="00895103" w:rsidRDefault="004C1101" w:rsidP="00827099">
      <w:pPr>
        <w:spacing w:after="0" w:line="480" w:lineRule="auto"/>
        <w:ind w:firstLine="720"/>
      </w:pPr>
      <w:r>
        <w:t xml:space="preserve">This </w:t>
      </w:r>
      <w:r w:rsidR="00F31674">
        <w:t>willingness</w:t>
      </w:r>
      <w:r>
        <w:t xml:space="preserve"> to see what others see, and the subsequent dialectic, allows the tutor to help the students move beyond where they are.  </w:t>
      </w:r>
      <w:r w:rsidR="00E650BD">
        <w:t>“While it is important to begin where we are,” writes Hill, “it is also important not simply to remain where we are.”  Hill argues that the collision of differing contexts goes beyond simple dialogues to “seeing and empathizing with the suffering of others”, a process of emotion, praxis, and reflection.</w:t>
      </w:r>
      <w:r w:rsidR="00E650BD">
        <w:rPr>
          <w:rStyle w:val="FootnoteReference"/>
        </w:rPr>
        <w:footnoteReference w:id="35"/>
      </w:r>
      <w:r w:rsidR="00E650BD">
        <w:t xml:space="preserve">  </w:t>
      </w:r>
    </w:p>
    <w:p w:rsidR="004C1101" w:rsidRDefault="0090461D" w:rsidP="00827099">
      <w:pPr>
        <w:spacing w:after="0" w:line="480" w:lineRule="auto"/>
        <w:ind w:firstLine="720"/>
      </w:pPr>
      <w:r>
        <w:lastRenderedPageBreak/>
        <w:t xml:space="preserve">This new of way of seeing, if approached in openness to and solidarity with the other, allows tribal mechanisms of thought to shatter and expand.  </w:t>
      </w:r>
      <w:r w:rsidR="00E650BD">
        <w:t>Therefore, “it is through being pulled by encounters of otherness – encounters that entail empathy, solidarity, and acknowledgement of self-deception – that we are grounded more squarely in the larger moral universe.”</w:t>
      </w:r>
      <w:r>
        <w:rPr>
          <w:rStyle w:val="FootnoteReference"/>
        </w:rPr>
        <w:footnoteReference w:id="36"/>
      </w:r>
    </w:p>
    <w:p w:rsidR="00F66B4D" w:rsidRDefault="00895103" w:rsidP="00827099">
      <w:pPr>
        <w:spacing w:after="0" w:line="480" w:lineRule="auto"/>
        <w:ind w:firstLine="720"/>
      </w:pPr>
      <w:r>
        <w:t xml:space="preserve">The </w:t>
      </w:r>
      <w:r w:rsidRPr="00895103">
        <w:rPr>
          <w:i/>
        </w:rPr>
        <w:t>other</w:t>
      </w:r>
      <w:r>
        <w:t xml:space="preserve"> is recognized as </w:t>
      </w:r>
      <w:r w:rsidRPr="00895103">
        <w:rPr>
          <w:i/>
        </w:rPr>
        <w:t>like</w:t>
      </w:r>
      <w:r>
        <w:t xml:space="preserve">.  </w:t>
      </w:r>
      <w:r w:rsidR="0090461D">
        <w:t xml:space="preserve">In this sense, all true theological </w:t>
      </w:r>
      <w:r>
        <w:t>education</w:t>
      </w:r>
      <w:r w:rsidR="0090461D">
        <w:t xml:space="preserve"> should be a sort of Talmud.  </w:t>
      </w:r>
      <w:r>
        <w:t>Marjorie Lehman uses solidarity with the other as the basis Talmudic</w:t>
      </w:r>
      <w:r w:rsidR="00F66B4D">
        <w:t xml:space="preserve"> study; she invites her students not only into dialogue with one another, but with the text before them.  “Fundamentally, Lehman wants all students to realize that in this dialogical process, the point is </w:t>
      </w:r>
      <w:r w:rsidR="00F66B4D">
        <w:rPr>
          <w:i/>
        </w:rPr>
        <w:t>not</w:t>
      </w:r>
      <w:r w:rsidR="00F66B4D">
        <w:t xml:space="preserve"> to come to some neat conclusion, to have </w:t>
      </w:r>
      <w:r w:rsidR="00F66B4D">
        <w:rPr>
          <w:i/>
        </w:rPr>
        <w:t>meaning</w:t>
      </w:r>
      <w:r w:rsidR="00F66B4D">
        <w:t xml:space="preserve"> all wrapped up once and for all.  Rather, for Lehman the point is to explore </w:t>
      </w:r>
      <w:r w:rsidR="00F66B4D">
        <w:rPr>
          <w:i/>
        </w:rPr>
        <w:t>meaning</w:t>
      </w:r>
      <w:r w:rsidR="00F66B4D">
        <w:t xml:space="preserve"> precisely in the tension and messiness of the interrelated dialogues themselves.”</w:t>
      </w:r>
      <w:r w:rsidR="00F66B4D">
        <w:rPr>
          <w:rStyle w:val="FootnoteReference"/>
        </w:rPr>
        <w:footnoteReference w:id="37"/>
      </w:r>
      <w:r w:rsidR="00F66B4D">
        <w:t xml:space="preserve">  </w:t>
      </w:r>
    </w:p>
    <w:p w:rsidR="0090461D" w:rsidRDefault="00F66B4D" w:rsidP="00827099">
      <w:pPr>
        <w:spacing w:after="0" w:line="480" w:lineRule="auto"/>
        <w:ind w:firstLine="720"/>
      </w:pPr>
      <w:r>
        <w:t xml:space="preserve">Lehman’s students enter into the greater dialogue of the rabbis, not only through understanding rabbis and their context – the </w:t>
      </w:r>
      <w:r>
        <w:rPr>
          <w:i/>
        </w:rPr>
        <w:t>other</w:t>
      </w:r>
      <w:r>
        <w:t xml:space="preserve"> – but the fundamental similarities between the rabbis and themselves – the </w:t>
      </w:r>
      <w:r>
        <w:rPr>
          <w:i/>
        </w:rPr>
        <w:t>like</w:t>
      </w:r>
      <w:r>
        <w:t>.  Lehman explains,</w:t>
      </w:r>
      <w:r w:rsidR="002526F0">
        <w:t xml:space="preserve"> “I certainly want my students</w:t>
      </w:r>
      <w:r w:rsidR="00A9735A">
        <w:t xml:space="preserve"> to confront the rabbis in their rabbinic world...However, they also need to see their ancestors as they see themselves.  They need to believe that there is something about the human condition that remains the same throughout the ages...”</w:t>
      </w:r>
      <w:r w:rsidR="00A9735A">
        <w:rPr>
          <w:rStyle w:val="FootnoteReference"/>
        </w:rPr>
        <w:footnoteReference w:id="38"/>
      </w:r>
    </w:p>
    <w:p w:rsidR="00A9735A" w:rsidRDefault="001F7522" w:rsidP="00827099">
      <w:pPr>
        <w:spacing w:after="0" w:line="480" w:lineRule="auto"/>
        <w:ind w:firstLine="720"/>
      </w:pPr>
      <w:r>
        <w:t xml:space="preserve">Through the respectful conflict of dialogue, and the open sharing of story, the tutor allows new understandings to emerge both in herself and her students.  Thomas </w:t>
      </w:r>
      <w:proofErr w:type="spellStart"/>
      <w:r>
        <w:t>Ogletree</w:t>
      </w:r>
      <w:proofErr w:type="spellEnd"/>
      <w:r>
        <w:t xml:space="preserve"> explains, “The stories invite us to view the world from a novel perspective.  They display the finitude and relativity of our own orientation to meaning....The promise borne by reciprocal dialectic of host and stranger is the emergence of a new world of shared meanings.”</w:t>
      </w:r>
      <w:r>
        <w:rPr>
          <w:rStyle w:val="FootnoteReference"/>
        </w:rPr>
        <w:footnoteReference w:id="39"/>
      </w:r>
    </w:p>
    <w:p w:rsidR="00827099" w:rsidRDefault="00827099" w:rsidP="00827099">
      <w:pPr>
        <w:spacing w:after="0" w:line="480" w:lineRule="auto"/>
        <w:ind w:firstLine="720"/>
        <w:rPr>
          <w:b/>
        </w:rPr>
      </w:pPr>
    </w:p>
    <w:p w:rsidR="00FC095A" w:rsidRPr="00FC095A" w:rsidRDefault="00FC095A" w:rsidP="00827099">
      <w:pPr>
        <w:spacing w:after="0" w:line="480" w:lineRule="auto"/>
        <w:rPr>
          <w:b/>
        </w:rPr>
      </w:pPr>
      <w:r>
        <w:rPr>
          <w:b/>
        </w:rPr>
        <w:t>Hospitality: Will you be my neighbour?</w:t>
      </w:r>
    </w:p>
    <w:p w:rsidR="008525DB" w:rsidRDefault="008525DB" w:rsidP="00827099">
      <w:pPr>
        <w:spacing w:after="0" w:line="480" w:lineRule="auto"/>
        <w:ind w:firstLine="720"/>
      </w:pPr>
      <w:r>
        <w:t xml:space="preserve">But the tutor cannot naively assume that, having introduced the class all round and broken them into discussion groups of three or four, genuine dialectic is taking place.  Neither context nor dialogue is sufficient </w:t>
      </w:r>
      <w:r>
        <w:lastRenderedPageBreak/>
        <w:t xml:space="preserve">in themselves to facilitate true learning.  </w:t>
      </w:r>
      <w:r w:rsidR="008C3612">
        <w:t>Pride – the assumption that oneself is entirely right – and cowardice – the assumption that oneself is entirely wrong – kill both disclosure and dialogue instantly.</w:t>
      </w:r>
      <w:r w:rsidR="008C3612">
        <w:rPr>
          <w:rStyle w:val="FootnoteReference"/>
        </w:rPr>
        <w:footnoteReference w:id="40"/>
      </w:r>
      <w:r w:rsidR="008C3612">
        <w:t xml:space="preserve">  To overcome these fears, there must be a third question: “Will you be my neighbour?”  It is the offer of hospitality, sitting at table and breaking bread.</w:t>
      </w:r>
    </w:p>
    <w:p w:rsidR="00937EC3" w:rsidRPr="00937EC3" w:rsidRDefault="00937EC3" w:rsidP="00827099">
      <w:pPr>
        <w:spacing w:after="0" w:line="480" w:lineRule="auto"/>
        <w:ind w:firstLine="720"/>
      </w:pPr>
      <w:proofErr w:type="spellStart"/>
      <w:r>
        <w:t>Ogletree</w:t>
      </w:r>
      <w:proofErr w:type="spellEnd"/>
      <w:r>
        <w:t xml:space="preserve"> defined hospitality as the welcoming of “something new, unfamiliar, and unknown into our life-world.”  Hospitality given to the journeying stranger means the offer of “shelter and sustenance in their travels, especially when they are moving through a hostile environment.”</w:t>
      </w:r>
      <w:r>
        <w:rPr>
          <w:rStyle w:val="FootnoteReference"/>
        </w:rPr>
        <w:footnoteReference w:id="41"/>
      </w:r>
      <w:r>
        <w:t xml:space="preserve">  In the reciprocal relationship of host and guest, of local and stranger, allows the </w:t>
      </w:r>
      <w:r>
        <w:rPr>
          <w:i/>
        </w:rPr>
        <w:t>other</w:t>
      </w:r>
      <w:r>
        <w:t xml:space="preserve"> to be known as </w:t>
      </w:r>
      <w:r>
        <w:rPr>
          <w:i/>
        </w:rPr>
        <w:t>like</w:t>
      </w:r>
      <w:r>
        <w:t>, letting both host and guest leave the encounter changed and enriched.</w:t>
      </w:r>
      <w:r>
        <w:rPr>
          <w:rStyle w:val="FootnoteReference"/>
        </w:rPr>
        <w:footnoteReference w:id="42"/>
      </w:r>
    </w:p>
    <w:p w:rsidR="00937EC3" w:rsidRPr="00937EC3" w:rsidRDefault="00937EC3" w:rsidP="00827099">
      <w:pPr>
        <w:spacing w:after="0" w:line="480" w:lineRule="auto"/>
        <w:ind w:firstLine="720"/>
      </w:pPr>
      <w:r>
        <w:t>“</w:t>
      </w:r>
      <w:r w:rsidRPr="00937EC3">
        <w:t>When we look at te</w:t>
      </w:r>
      <w:r>
        <w:t>aching in terms of hospitality,”</w:t>
      </w:r>
      <w:r w:rsidRPr="00937EC3">
        <w:t xml:space="preserve"> </w:t>
      </w:r>
      <w:r w:rsidR="00F31674">
        <w:t>writes</w:t>
      </w:r>
      <w:r>
        <w:t xml:space="preserve"> Henri </w:t>
      </w:r>
      <w:proofErr w:type="spellStart"/>
      <w:r>
        <w:t>Nouwen</w:t>
      </w:r>
      <w:proofErr w:type="spellEnd"/>
      <w:r>
        <w:t>, “</w:t>
      </w:r>
      <w:r w:rsidRPr="00937EC3">
        <w:t>we can say that the teacher is called upon to create for his students a free and fearless space where mental and emotio</w:t>
      </w:r>
      <w:r>
        <w:t>nal development can take place.”</w:t>
      </w:r>
      <w:r w:rsidRPr="00937EC3">
        <w:rPr>
          <w:vertAlign w:val="superscript"/>
        </w:rPr>
        <w:footnoteReference w:id="43"/>
      </w:r>
      <w:r w:rsidR="007E30C1">
        <w:t xml:space="preserve">  </w:t>
      </w:r>
      <w:r w:rsidR="00B650AB">
        <w:t>The tutor has already established a kinship with her subject, and as a host she invites her students into that kinship.</w:t>
      </w:r>
      <w:r w:rsidR="00B650AB">
        <w:rPr>
          <w:rStyle w:val="FootnoteReference"/>
        </w:rPr>
        <w:footnoteReference w:id="44"/>
      </w:r>
      <w:r w:rsidR="00B650AB">
        <w:t xml:space="preserve">  </w:t>
      </w:r>
      <w:r w:rsidR="007E30C1">
        <w:t>In allowing education to assume the contours of kinship instead hierarchy, the tutor brings the students into friendship with herself and with each other.</w:t>
      </w:r>
      <w:r w:rsidR="00A45D64">
        <w:t xml:space="preserve">  </w:t>
      </w:r>
      <w:r w:rsidR="0080693C">
        <w:t>Reciprocity</w:t>
      </w:r>
      <w:r w:rsidR="00A45D64">
        <w:t xml:space="preserve"> develops, in which each learns from each, </w:t>
      </w:r>
      <w:r w:rsidR="0080693C">
        <w:t xml:space="preserve">other is recognized as </w:t>
      </w:r>
      <w:proofErr w:type="gramStart"/>
      <w:r w:rsidR="0080693C">
        <w:t>like,</w:t>
      </w:r>
      <w:proofErr w:type="gramEnd"/>
      <w:r w:rsidR="0080693C">
        <w:t xml:space="preserve"> and true disclosure and dialogue can take place.</w:t>
      </w:r>
      <w:r w:rsidR="0080693C">
        <w:rPr>
          <w:rStyle w:val="FootnoteReference"/>
        </w:rPr>
        <w:footnoteReference w:id="45"/>
      </w:r>
    </w:p>
    <w:p w:rsidR="00050D8A" w:rsidRDefault="0043673B" w:rsidP="00827099">
      <w:pPr>
        <w:spacing w:after="0" w:line="480" w:lineRule="auto"/>
        <w:ind w:firstLine="720"/>
      </w:pPr>
      <w:r>
        <w:t>The comfort of kinship and hospitality, “a free and fearless space”, allows the student to overcome fear of self and fear of others.  The affirmation</w:t>
      </w:r>
      <w:r w:rsidR="00050D8A">
        <w:t xml:space="preserve"> of her dignity as an individual</w:t>
      </w:r>
      <w:r>
        <w:t>, and not just a subject of statistic, gives her the courage to take part in her own education.</w:t>
      </w:r>
      <w:r w:rsidR="00050D8A">
        <w:rPr>
          <w:rStyle w:val="FootnoteReference"/>
        </w:rPr>
        <w:footnoteReference w:id="46"/>
      </w:r>
      <w:r>
        <w:t xml:space="preserve">  </w:t>
      </w:r>
      <w:r w:rsidR="00050D8A">
        <w:t xml:space="preserve">It gives her the courage to speak before she is fluent, to preach before she is practiced, </w:t>
      </w:r>
      <w:proofErr w:type="gramStart"/>
      <w:r w:rsidR="00050D8A">
        <w:t>to</w:t>
      </w:r>
      <w:proofErr w:type="gramEnd"/>
      <w:r w:rsidR="00050D8A">
        <w:t xml:space="preserve"> write before she is perfect.</w:t>
      </w:r>
    </w:p>
    <w:p w:rsidR="00937EC3" w:rsidRDefault="0043673B" w:rsidP="00827099">
      <w:pPr>
        <w:spacing w:after="0" w:line="480" w:lineRule="auto"/>
        <w:ind w:firstLine="720"/>
      </w:pPr>
      <w:r>
        <w:t>“In order to learn,” said Rogers, “the student</w:t>
      </w:r>
      <w:r w:rsidR="00050D8A">
        <w:t xml:space="preserve"> participant needs to become for a time a teacher.  The learner presents the newly acquired skill or newly learned material to the teacher, who in turns adopts the role of listener/learner....The teacher-learner exchange of roles is the single most effective method of learning.”</w:t>
      </w:r>
      <w:r w:rsidR="00F31674">
        <w:rPr>
          <w:rStyle w:val="FootnoteReference"/>
        </w:rPr>
        <w:footnoteReference w:id="47"/>
      </w:r>
    </w:p>
    <w:p w:rsidR="00B650AB" w:rsidRDefault="00050D8A" w:rsidP="00827099">
      <w:pPr>
        <w:spacing w:after="0" w:line="480" w:lineRule="auto"/>
        <w:ind w:firstLine="720"/>
      </w:pPr>
      <w:r>
        <w:lastRenderedPageBreak/>
        <w:t xml:space="preserve">This sort of kinship and hospitality is holistic.  A good host will be aware of all the guest’s needs, not just one.  So, too, a good tutor cannot focus purely on the cerebral.  </w:t>
      </w:r>
      <w:r w:rsidR="005F52A4">
        <w:t>Pilli insists that for a whole education, all parts of the person must interact</w:t>
      </w:r>
      <w:r w:rsidR="002844A2">
        <w:t>, emotional with cognitive, physical with verbal.</w:t>
      </w:r>
      <w:r w:rsidR="002844A2">
        <w:rPr>
          <w:rStyle w:val="FootnoteReference"/>
        </w:rPr>
        <w:footnoteReference w:id="48"/>
      </w:r>
      <w:r w:rsidR="002844A2">
        <w:t xml:space="preserve">  Knowledge is taught and apprehended on an individual level</w:t>
      </w:r>
      <w:r w:rsidR="005A244B">
        <w:t xml:space="preserve">; if the individual does not understand the facets of himself as a whole, he cannot understand himself as a facet in a broader context: he cannot see the </w:t>
      </w:r>
      <w:r w:rsidR="005A244B">
        <w:rPr>
          <w:i/>
        </w:rPr>
        <w:t>like</w:t>
      </w:r>
      <w:r w:rsidR="005A244B">
        <w:t xml:space="preserve"> in the </w:t>
      </w:r>
      <w:r w:rsidR="005A244B">
        <w:rPr>
          <w:i/>
        </w:rPr>
        <w:t>other</w:t>
      </w:r>
      <w:r w:rsidR="005A244B">
        <w:t>.</w:t>
      </w:r>
      <w:r w:rsidR="005A244B">
        <w:rPr>
          <w:rStyle w:val="FootnoteReference"/>
        </w:rPr>
        <w:footnoteReference w:id="49"/>
      </w:r>
    </w:p>
    <w:p w:rsidR="00B650AB" w:rsidRDefault="00B650AB" w:rsidP="00827099">
      <w:pPr>
        <w:spacing w:after="0" w:line="480" w:lineRule="auto"/>
        <w:ind w:firstLine="720"/>
      </w:pPr>
      <w:r>
        <w:t>Holistic education, as kinship and hospitality, creates an empathetic knowledge rooted in compassion</w:t>
      </w:r>
      <w:r w:rsidR="003A78C8">
        <w:t>, according to Palmer</w:t>
      </w:r>
      <w:r>
        <w:t xml:space="preserve">.  It is, in fact, an epistemic turn, where the broken parts of self, the broken parts of the world, can be rearranged, reunified.  Thus, education </w:t>
      </w:r>
      <w:proofErr w:type="spellStart"/>
      <w:r>
        <w:t>catalyzes</w:t>
      </w:r>
      <w:proofErr w:type="spellEnd"/>
      <w:r>
        <w:t xml:space="preserve"> reconciliation, in which the other can be understood and loved.  In other words, the student learns how to enter in </w:t>
      </w:r>
      <w:r w:rsidR="003A78C8">
        <w:t>to the world as he finds it, not to manipulate or exploit it.</w:t>
      </w:r>
      <w:r>
        <w:rPr>
          <w:rStyle w:val="FootnoteReference"/>
        </w:rPr>
        <w:footnoteReference w:id="50"/>
      </w:r>
    </w:p>
    <w:p w:rsidR="009538EC" w:rsidRDefault="009538EC" w:rsidP="00827099">
      <w:pPr>
        <w:spacing w:after="0" w:line="480" w:lineRule="auto"/>
        <w:ind w:firstLine="720"/>
      </w:pPr>
      <w:r>
        <w:t>The tutor and the student enter into this epistemic turn together.  The tutor is more than a hos</w:t>
      </w:r>
      <w:r w:rsidR="00E65743">
        <w:t>t;</w:t>
      </w:r>
      <w:r>
        <w:t xml:space="preserve"> he is a mendicant host.  He and the student enter into a journey as fellow travellers.</w:t>
      </w:r>
      <w:r>
        <w:rPr>
          <w:rStyle w:val="FootnoteReference"/>
        </w:rPr>
        <w:footnoteReference w:id="51"/>
      </w:r>
      <w:r>
        <w:t xml:space="preserve">  They are willing to “be neighbours”, letting their paths run together for a time and a season, to learn where they are from and </w:t>
      </w:r>
      <w:r w:rsidR="00E65743">
        <w:t>to</w:t>
      </w:r>
      <w:r>
        <w:t xml:space="preserve"> help the other to understand what they see.  </w:t>
      </w:r>
      <w:r w:rsidR="00E65743">
        <w:t>Where they are and what they see changes through the course of their journey together; when they part, they will not be unchanged.</w:t>
      </w:r>
    </w:p>
    <w:p w:rsidR="00827099" w:rsidRDefault="00827099" w:rsidP="00827099">
      <w:pPr>
        <w:spacing w:after="0" w:line="480" w:lineRule="auto"/>
        <w:ind w:firstLine="720"/>
        <w:rPr>
          <w:b/>
        </w:rPr>
      </w:pPr>
    </w:p>
    <w:p w:rsidR="00FC095A" w:rsidRPr="00FC095A" w:rsidRDefault="00FC095A" w:rsidP="00827099">
      <w:pPr>
        <w:spacing w:after="0" w:line="480" w:lineRule="auto"/>
        <w:rPr>
          <w:b/>
        </w:rPr>
      </w:pPr>
      <w:proofErr w:type="spellStart"/>
      <w:r>
        <w:rPr>
          <w:b/>
        </w:rPr>
        <w:t>Eucatastrophe</w:t>
      </w:r>
      <w:proofErr w:type="spellEnd"/>
      <w:r>
        <w:rPr>
          <w:b/>
        </w:rPr>
        <w:t>: Where are we going?</w:t>
      </w:r>
    </w:p>
    <w:p w:rsidR="002138C5" w:rsidRDefault="002138C5" w:rsidP="00827099">
      <w:pPr>
        <w:spacing w:after="0" w:line="480" w:lineRule="auto"/>
        <w:ind w:firstLine="720"/>
      </w:pPr>
      <w:r>
        <w:t xml:space="preserve">But what is seen, what is known?  Where is the tutor travelling with the student?  This is the </w:t>
      </w:r>
      <w:r w:rsidR="00FC095A">
        <w:t>fourth</w:t>
      </w:r>
      <w:r>
        <w:t>, most vital question: “Where are we going?”</w:t>
      </w:r>
    </w:p>
    <w:p w:rsidR="00C03A9D" w:rsidRDefault="002F0D39" w:rsidP="00827099">
      <w:pPr>
        <w:spacing w:after="0" w:line="480" w:lineRule="auto"/>
        <w:ind w:firstLine="720"/>
      </w:pPr>
      <w:r>
        <w:t xml:space="preserve">The journey to Emmaus road might have been nothing more – scintillating conversation, </w:t>
      </w:r>
      <w:r w:rsidR="00DE644B">
        <w:t>warm</w:t>
      </w:r>
      <w:r>
        <w:t xml:space="preserve"> hospitality, a </w:t>
      </w:r>
      <w:r w:rsidR="00DE644B">
        <w:t>pleasant</w:t>
      </w:r>
      <w:r>
        <w:t xml:space="preserve"> evening</w:t>
      </w:r>
      <w:r w:rsidR="00DE644B">
        <w:t xml:space="preserve"> with neighbours</w:t>
      </w:r>
      <w:r>
        <w:t xml:space="preserve">.  </w:t>
      </w:r>
      <w:r w:rsidR="00DE644B">
        <w:t xml:space="preserve">For all the disciples knew, they had reached their destination already.  But Jesus entered their conversation and their home for a reason: that they might believe – not </w:t>
      </w:r>
      <w:r w:rsidR="00515397">
        <w:t>just</w:t>
      </w:r>
      <w:r w:rsidR="00DE644B">
        <w:t xml:space="preserve"> what they could comprehend about him, but who he actually was.</w:t>
      </w:r>
      <w:r w:rsidR="00DE644B">
        <w:rPr>
          <w:rStyle w:val="FootnoteReference"/>
        </w:rPr>
        <w:footnoteReference w:id="52"/>
      </w:r>
      <w:r w:rsidR="00DE644B">
        <w:t xml:space="preserve">  All his actions, up to the breaking of bread at the table, had one purpose, one destination.  “And their eyes were opened, and they knew him.”</w:t>
      </w:r>
      <w:r w:rsidR="00DE644B">
        <w:rPr>
          <w:rStyle w:val="FootnoteReference"/>
        </w:rPr>
        <w:footnoteReference w:id="53"/>
      </w:r>
      <w:r w:rsidR="00CA14E4">
        <w:t xml:space="preserve">  </w:t>
      </w:r>
    </w:p>
    <w:p w:rsidR="009F3618" w:rsidRDefault="00DE644B" w:rsidP="00827099">
      <w:pPr>
        <w:spacing w:after="0" w:line="480" w:lineRule="auto"/>
        <w:ind w:firstLine="720"/>
      </w:pPr>
      <w:r>
        <w:lastRenderedPageBreak/>
        <w:t>The tutor is a mendicant host, joining with his students on a journey to the place of seeing</w:t>
      </w:r>
      <w:r w:rsidR="00961361">
        <w:t xml:space="preserve">, that is, the place of true knowing.  </w:t>
      </w:r>
      <w:r w:rsidR="00C03A9D">
        <w:t>T</w:t>
      </w:r>
      <w:r w:rsidR="00BF0EDE">
        <w:t xml:space="preserve">heological education becomes, as Vladimir </w:t>
      </w:r>
      <w:proofErr w:type="spellStart"/>
      <w:r w:rsidR="00BF0EDE">
        <w:t>Feodorov</w:t>
      </w:r>
      <w:proofErr w:type="spellEnd"/>
      <w:r w:rsidR="00BF0EDE">
        <w:t xml:space="preserve"> suggests, a “liturgy before liturgy”, a journey of preparation to the place where Christ is seen and known.</w:t>
      </w:r>
      <w:r w:rsidR="007F6F51">
        <w:rPr>
          <w:rStyle w:val="FootnoteReference"/>
        </w:rPr>
        <w:footnoteReference w:id="54"/>
      </w:r>
      <w:r w:rsidR="00C03A9D">
        <w:t xml:space="preserve">  It is a journey of worship, tutor and student learning together from each other and from Christ, into worship, where Christ is seen and known more fully than before.</w:t>
      </w:r>
      <w:r w:rsidR="00D2382D">
        <w:t xml:space="preserve">  </w:t>
      </w:r>
    </w:p>
    <w:p w:rsidR="009F3618" w:rsidRPr="003760E8" w:rsidRDefault="009F3618" w:rsidP="00827099">
      <w:pPr>
        <w:spacing w:after="0" w:line="480" w:lineRule="auto"/>
        <w:ind w:firstLine="720"/>
      </w:pPr>
      <w:r>
        <w:t xml:space="preserve">This is the epistemic turn mentioned above – the moment of seeing, the moment of </w:t>
      </w:r>
      <w:proofErr w:type="spellStart"/>
      <w:r w:rsidRPr="009146FE">
        <w:rPr>
          <w:i/>
        </w:rPr>
        <w:t>eucatastrophe</w:t>
      </w:r>
      <w:proofErr w:type="spellEnd"/>
      <w:r>
        <w:t>, to borrow Professor Tolkien’s concept, “a fleeting glimpse of Joy, Joy beyond the walls of the world, poignant as grief.”</w:t>
      </w:r>
      <w:r>
        <w:rPr>
          <w:rStyle w:val="FootnoteReference"/>
        </w:rPr>
        <w:footnoteReference w:id="55"/>
      </w:r>
      <w:r>
        <w:t xml:space="preserve">  The </w:t>
      </w:r>
      <w:proofErr w:type="spellStart"/>
      <w:r w:rsidRPr="009F3618">
        <w:t>eucatastrophic</w:t>
      </w:r>
      <w:proofErr w:type="spellEnd"/>
      <w:r>
        <w:t xml:space="preserve"> moment, “the good catastrophe, the sudden joyous ‘turn’”,</w:t>
      </w:r>
      <w:r>
        <w:rPr>
          <w:rStyle w:val="FootnoteReference"/>
        </w:rPr>
        <w:footnoteReference w:id="56"/>
      </w:r>
      <w:r>
        <w:t xml:space="preserve"> is the place where the class is going.</w:t>
      </w:r>
    </w:p>
    <w:p w:rsidR="009F3618" w:rsidRDefault="009F3618" w:rsidP="00827099">
      <w:pPr>
        <w:spacing w:after="0" w:line="480" w:lineRule="auto"/>
        <w:ind w:firstLine="720"/>
      </w:pPr>
      <w:r>
        <w:t xml:space="preserve">The tutor labours for </w:t>
      </w:r>
      <w:proofErr w:type="spellStart"/>
      <w:r w:rsidRPr="003760E8">
        <w:rPr>
          <w:i/>
        </w:rPr>
        <w:t>eucatastrophe</w:t>
      </w:r>
      <w:proofErr w:type="spellEnd"/>
      <w:r>
        <w:t xml:space="preserve"> in her teaching, the sudden burst of the divine into the mundane, the vision of the Resurrection beyond the Cross, the promise that “He shall come again.”</w:t>
      </w:r>
      <w:r>
        <w:rPr>
          <w:rStyle w:val="FootnoteReference"/>
        </w:rPr>
        <w:footnoteReference w:id="57"/>
      </w:r>
      <w:r>
        <w:t xml:space="preserve">  The tutor has the ability to journey with her students into that place of seeing, when a student’s comprehension of the subject suddenly reveals Christ as He is, in them and in the world around them.</w:t>
      </w:r>
    </w:p>
    <w:p w:rsidR="004350CA" w:rsidRDefault="009F3618" w:rsidP="00827099">
      <w:pPr>
        <w:spacing w:after="0" w:line="480" w:lineRule="auto"/>
        <w:ind w:firstLine="720"/>
      </w:pPr>
      <w:r>
        <w:t>The class thus becomes more than a lecture hall or study group.  It becomes a “Eucharistic community”</w:t>
      </w:r>
      <w:r w:rsidR="004350CA">
        <w:rPr>
          <w:rStyle w:val="FootnoteReference"/>
        </w:rPr>
        <w:footnoteReference w:id="58"/>
      </w:r>
      <w:r>
        <w:t xml:space="preserve">; the </w:t>
      </w:r>
      <w:proofErr w:type="spellStart"/>
      <w:r>
        <w:t>eucatastrophic</w:t>
      </w:r>
      <w:proofErr w:type="spellEnd"/>
      <w:r>
        <w:t xml:space="preserve"> vision that sent the </w:t>
      </w:r>
      <w:proofErr w:type="gramStart"/>
      <w:r>
        <w:t>disciples</w:t>
      </w:r>
      <w:proofErr w:type="gramEnd"/>
      <w:r>
        <w:t xml:space="preserve"> running back to Jerusalem occurred when Jesus broke the bre</w:t>
      </w:r>
      <w:r w:rsidR="00263184">
        <w:t xml:space="preserve">ad.  </w:t>
      </w:r>
      <w:r w:rsidR="004350CA">
        <w:t xml:space="preserve">Frederick </w:t>
      </w:r>
      <w:proofErr w:type="spellStart"/>
      <w:r w:rsidR="004350CA">
        <w:t>Guyette</w:t>
      </w:r>
      <w:proofErr w:type="spellEnd"/>
      <w:r w:rsidR="004350CA">
        <w:t xml:space="preserve"> wrote, “Gathering around The Lord’s Table, listening to the words of Jesus, then going out to befriend others – these are the practices that </w:t>
      </w:r>
      <w:r w:rsidR="00122363">
        <w:t>hold</w:t>
      </w:r>
      <w:r w:rsidR="004350CA">
        <w:t xml:space="preserve"> the greatest promise for nourishing a deep solidarity and showing us what human flourishing looks like.”</w:t>
      </w:r>
      <w:r w:rsidR="004350CA">
        <w:rPr>
          <w:rStyle w:val="FootnoteReference"/>
        </w:rPr>
        <w:footnoteReference w:id="59"/>
      </w:r>
    </w:p>
    <w:p w:rsidR="006B2B0D" w:rsidRDefault="00C56359" w:rsidP="00827099">
      <w:pPr>
        <w:spacing w:after="0" w:line="480" w:lineRule="auto"/>
        <w:ind w:firstLine="720"/>
      </w:pPr>
      <w:r>
        <w:t xml:space="preserve">But the </w:t>
      </w:r>
      <w:proofErr w:type="spellStart"/>
      <w:r>
        <w:t>eucatastrophic</w:t>
      </w:r>
      <w:proofErr w:type="spellEnd"/>
      <w:r>
        <w:t xml:space="preserve"> </w:t>
      </w:r>
      <w:r w:rsidR="00122363">
        <w:t>vision</w:t>
      </w:r>
      <w:r>
        <w:t xml:space="preserve"> is not an end in itself.  It is merely a turn of the path.  The tutor will walk alongside the students for a time and a season of that path; he and they will keep walking after their ways part.</w:t>
      </w:r>
      <w:r w:rsidR="00285680">
        <w:rPr>
          <w:rStyle w:val="FootnoteReference"/>
        </w:rPr>
        <w:footnoteReference w:id="60"/>
      </w:r>
      <w:r>
        <w:t xml:space="preserve">  </w:t>
      </w:r>
      <w:r w:rsidR="00285680">
        <w:t xml:space="preserve">The tutor should not </w:t>
      </w:r>
      <w:r>
        <w:t>desir</w:t>
      </w:r>
      <w:r w:rsidR="00285680">
        <w:t>e</w:t>
      </w:r>
      <w:r>
        <w:t xml:space="preserve"> the students</w:t>
      </w:r>
      <w:r w:rsidR="00285680">
        <w:t xml:space="preserve"> merely</w:t>
      </w:r>
      <w:r>
        <w:t xml:space="preserve"> to learn his material</w:t>
      </w:r>
      <w:r w:rsidR="00285680">
        <w:t xml:space="preserve">, and be able to use his notes in a Sunday </w:t>
      </w:r>
      <w:proofErr w:type="gramStart"/>
      <w:r w:rsidR="00285680">
        <w:t>School</w:t>
      </w:r>
      <w:proofErr w:type="gramEnd"/>
      <w:r w:rsidR="00285680">
        <w:t xml:space="preserve"> class.  He should want them to see Jesus for themselves, to walk with Him on their own.  </w:t>
      </w:r>
    </w:p>
    <w:p w:rsidR="00122363" w:rsidRDefault="00285680" w:rsidP="00827099">
      <w:pPr>
        <w:spacing w:after="0" w:line="480" w:lineRule="auto"/>
        <w:ind w:firstLine="720"/>
      </w:pPr>
      <w:r>
        <w:lastRenderedPageBreak/>
        <w:t>“[Learning] is,” Rogers writes, “a necessary part of life, not just a preparation.</w:t>
      </w:r>
      <w:r w:rsidR="006B2B0D">
        <w:t xml:space="preserve">  We need to continue to learn because we cannot learn at the start all that we shall need during our uncertain path through life.”</w:t>
      </w:r>
      <w:r w:rsidR="006D3279">
        <w:rPr>
          <w:rStyle w:val="FootnoteReference"/>
        </w:rPr>
        <w:footnoteReference w:id="61"/>
      </w:r>
      <w:r w:rsidR="006D3279">
        <w:t xml:space="preserve">  The embrace of lifelong </w:t>
      </w:r>
      <w:proofErr w:type="gramStart"/>
      <w:r w:rsidR="006D3279">
        <w:t>learning,</w:t>
      </w:r>
      <w:proofErr w:type="gramEnd"/>
      <w:r w:rsidR="006D3279">
        <w:t xml:space="preserve"> is, in fact, in fundamental harmony with the heart of Christianity.</w:t>
      </w:r>
      <w:r w:rsidR="006D3279">
        <w:rPr>
          <w:rStyle w:val="FootnoteReference"/>
        </w:rPr>
        <w:footnoteReference w:id="62"/>
      </w:r>
      <w:r w:rsidR="00A4097B" w:rsidRPr="00A4097B">
        <w:t xml:space="preserve"> </w:t>
      </w:r>
      <w:r w:rsidR="00A4097B">
        <w:t xml:space="preserve"> The “joyous turn” is not merely the end, but a beginning, “[a] sharp cut in the endless tapestry” of a life of learning that will continue.</w:t>
      </w:r>
      <w:r w:rsidR="00A4097B">
        <w:rPr>
          <w:rStyle w:val="FootnoteReference"/>
        </w:rPr>
        <w:footnoteReference w:id="63"/>
      </w:r>
      <w:r w:rsidR="00122363">
        <w:t xml:space="preserve">  </w:t>
      </w:r>
      <w:r w:rsidR="00C56359">
        <w:t>Nor will the turn happen at the same point in the class for every student.  For some, it may happen in the first session, for others in the last, or anywhere else between</w:t>
      </w:r>
      <w:r w:rsidR="00122363">
        <w:t xml:space="preserve"> – and it may or may not pertain to something the tutor has said</w:t>
      </w:r>
      <w:r w:rsidR="00C56359">
        <w:t xml:space="preserve">.  </w:t>
      </w:r>
    </w:p>
    <w:p w:rsidR="00515397" w:rsidRDefault="00D2382D" w:rsidP="00827099">
      <w:pPr>
        <w:spacing w:after="0" w:line="480" w:lineRule="auto"/>
        <w:ind w:firstLine="720"/>
      </w:pPr>
      <w:r>
        <w:t>It would be a mistake, however, for the tutor to assume that he is leading his students over familiar ground to a familiar place – that he is, as it were, simply inviting them into his own experience of worship.</w:t>
      </w:r>
      <w:r w:rsidR="00C03A9D">
        <w:t xml:space="preserve"> </w:t>
      </w:r>
      <w:r>
        <w:t xml:space="preserve">  A class curriculum will not lead to the same revelation of Christ twice, any more than the same combination of three songs will not lead to the same worship experience twice.  No one Eucharist is </w:t>
      </w:r>
      <w:r w:rsidR="00515397">
        <w:t xml:space="preserve">exactly </w:t>
      </w:r>
      <w:r>
        <w:t xml:space="preserve">like another.  </w:t>
      </w:r>
    </w:p>
    <w:p w:rsidR="00E64024" w:rsidRDefault="00D2382D" w:rsidP="00827099">
      <w:pPr>
        <w:spacing w:after="0" w:line="480" w:lineRule="auto"/>
        <w:ind w:firstLine="720"/>
      </w:pPr>
      <w:r>
        <w:t>The courage of the tutor is not that he lets the students travel with him, showing them thi</w:t>
      </w:r>
      <w:r w:rsidR="00515397">
        <w:t>ngs they had not noticed before</w:t>
      </w:r>
      <w:r>
        <w:t>, but that he dares to travel with them, and looks for things he had not seen.</w:t>
      </w:r>
      <w:r w:rsidR="00515397">
        <w:rPr>
          <w:rStyle w:val="FootnoteReference"/>
        </w:rPr>
        <w:footnoteReference w:id="64"/>
      </w:r>
      <w:r w:rsidR="00515397">
        <w:t xml:space="preserve">  </w:t>
      </w:r>
      <w:r w:rsidR="00122363">
        <w:t>As Vincent Donovan explains</w:t>
      </w:r>
      <w:r w:rsidR="00D23D16">
        <w:t>, “You must have the courage to go with them to a place that neither you nor they have ever been before.”</w:t>
      </w:r>
      <w:r w:rsidR="00D23D16">
        <w:rPr>
          <w:rStyle w:val="FootnoteReference"/>
        </w:rPr>
        <w:footnoteReference w:id="65"/>
      </w:r>
      <w:r w:rsidR="00D23D16">
        <w:t xml:space="preserve">  </w:t>
      </w:r>
      <w:r>
        <w:t>The answer to the question “Where are we going?” is simply “Come and see.”</w:t>
      </w:r>
      <w:r w:rsidR="00C56359" w:rsidRPr="00C56359">
        <w:t xml:space="preserve"> </w:t>
      </w:r>
    </w:p>
    <w:p w:rsidR="003E11B5" w:rsidRDefault="003E11B5" w:rsidP="00827099">
      <w:pPr>
        <w:spacing w:after="0" w:line="480" w:lineRule="auto"/>
        <w:ind w:firstLine="720"/>
        <w:rPr>
          <w:b/>
        </w:rPr>
      </w:pPr>
    </w:p>
    <w:p w:rsidR="001356D2" w:rsidRDefault="001356D2" w:rsidP="003E11B5">
      <w:pPr>
        <w:spacing w:after="0" w:line="480" w:lineRule="auto"/>
        <w:rPr>
          <w:b/>
        </w:rPr>
      </w:pPr>
      <w:r>
        <w:rPr>
          <w:b/>
        </w:rPr>
        <w:t>Conclusion</w:t>
      </w:r>
    </w:p>
    <w:p w:rsidR="00650739" w:rsidRDefault="001356D2" w:rsidP="00827099">
      <w:pPr>
        <w:spacing w:after="0" w:line="480" w:lineRule="auto"/>
        <w:ind w:firstLine="720"/>
      </w:pPr>
      <w:r>
        <w:t xml:space="preserve">The theological tutor enters into conversation – with her students, with her Saviour, and with her subject.  True education, </w:t>
      </w:r>
      <w:r w:rsidR="00650739">
        <w:t>like</w:t>
      </w:r>
      <w:r>
        <w:t xml:space="preserve"> true theology, cannot address the question of the world in neatly compartmentalized</w:t>
      </w:r>
      <w:r w:rsidR="00650739">
        <w:t xml:space="preserve"> structures</w:t>
      </w:r>
      <w:r w:rsidR="00650739" w:rsidRPr="00650739">
        <w:rPr>
          <w:rStyle w:val="FootnoteReference"/>
        </w:rPr>
        <w:t xml:space="preserve"> </w:t>
      </w:r>
      <w:r w:rsidR="00650739">
        <w:rPr>
          <w:rStyle w:val="FootnoteReference"/>
        </w:rPr>
        <w:footnoteReference w:id="66"/>
      </w:r>
      <w:r w:rsidR="00650739">
        <w:t>; true education does not happen in the structure of the syllabus but in the randomness and messiness of a journey with friends</w:t>
      </w:r>
      <w:r>
        <w:t>.</w:t>
      </w:r>
      <w:r w:rsidR="00650739">
        <w:t xml:space="preserve">  </w:t>
      </w:r>
    </w:p>
    <w:p w:rsidR="001356D2" w:rsidRDefault="00650739" w:rsidP="00827099">
      <w:pPr>
        <w:spacing w:after="0" w:line="480" w:lineRule="auto"/>
        <w:ind w:firstLine="720"/>
      </w:pPr>
      <w:r>
        <w:t xml:space="preserve">In the course of the journey, the tutor must continuously be asking herself and her students, “Where are you from?  What do you see?  Will you be my neighbour?  Where are we going?”  The humbleness of </w:t>
      </w:r>
      <w:r>
        <w:lastRenderedPageBreak/>
        <w:t>being a perpetual questioner, and thus a perpetual learner, keeps her conscious that she, like her students, is simply a student of Christ.  She has truth to share with them, but they have truth to share with her, too.</w:t>
      </w:r>
      <w:r>
        <w:rPr>
          <w:rStyle w:val="FootnoteReference"/>
        </w:rPr>
        <w:footnoteReference w:id="67"/>
      </w:r>
    </w:p>
    <w:p w:rsidR="00FD618E" w:rsidRDefault="00066413" w:rsidP="00827099">
      <w:pPr>
        <w:spacing w:after="0" w:line="480" w:lineRule="auto"/>
        <w:ind w:firstLine="720"/>
      </w:pPr>
      <w:r>
        <w:t xml:space="preserve">The role of the tutor is to enter in to the lives of a few, and join with them in their studies with Christ.  The tutor has the privilege to travel with her students to the place of seeing, to the “good turning” where their paths diverge, each richer for the time spent together.  </w:t>
      </w:r>
    </w:p>
    <w:p w:rsidR="00E64024" w:rsidRDefault="00FD618E" w:rsidP="00827099">
      <w:pPr>
        <w:spacing w:after="0" w:line="480" w:lineRule="auto"/>
        <w:ind w:firstLine="720"/>
      </w:pPr>
      <w:r>
        <w:t xml:space="preserve">Paul </w:t>
      </w:r>
      <w:proofErr w:type="spellStart"/>
      <w:r>
        <w:t>Wadell</w:t>
      </w:r>
      <w:proofErr w:type="spellEnd"/>
      <w:r>
        <w:t xml:space="preserve"> writes</w:t>
      </w:r>
      <w:r w:rsidR="00066413">
        <w:t xml:space="preserve"> that “to teach is to receive our students as beautiful gifts” no matter how hidden or </w:t>
      </w:r>
      <w:r w:rsidR="00066413">
        <w:rPr>
          <w:i/>
        </w:rPr>
        <w:t>other</w:t>
      </w:r>
      <w:r w:rsidR="00066413">
        <w:t xml:space="preserve"> the beauty may be, “in order to offer them </w:t>
      </w:r>
      <w:r>
        <w:t>to God as beautiful gifts.  This is not limp piety, it is what the person of humility and gratitude simply knows.”</w:t>
      </w:r>
      <w:r w:rsidRPr="00FD618E">
        <w:t xml:space="preserve"> </w:t>
      </w:r>
      <w:r>
        <w:t xml:space="preserve">  Teaching is a stewardship – the honour of sharing, in a small way, the work of Jesus as Teacher. </w:t>
      </w:r>
      <w:r>
        <w:rPr>
          <w:rStyle w:val="FootnoteReference"/>
        </w:rPr>
        <w:footnoteReference w:id="68"/>
      </w:r>
      <w:r>
        <w:t xml:space="preserve">  It is the work of bringing fellow-students to Christ, and leaving them in his care.</w:t>
      </w:r>
    </w:p>
    <w:p w:rsidR="00827099" w:rsidRDefault="00827099">
      <w:r>
        <w:br w:type="page"/>
      </w:r>
    </w:p>
    <w:p w:rsidR="00202B2E" w:rsidRPr="00202B2E" w:rsidRDefault="0005054D" w:rsidP="00A46ACD">
      <w:pPr>
        <w:pStyle w:val="Bibliography"/>
        <w:rPr>
          <w:smallCaps/>
        </w:rPr>
      </w:pPr>
      <w:r>
        <w:rPr>
          <w:smallCaps/>
        </w:rPr>
        <w:lastRenderedPageBreak/>
        <w:t>Bibliography</w:t>
      </w:r>
    </w:p>
    <w:p w:rsidR="00A46ACD" w:rsidRDefault="00E64024" w:rsidP="00202B2E">
      <w:pPr>
        <w:pStyle w:val="Bibliography"/>
        <w:ind w:left="720" w:hanging="720"/>
        <w:rPr>
          <w:noProof/>
        </w:rPr>
      </w:pPr>
      <w:r>
        <w:fldChar w:fldCharType="begin"/>
      </w:r>
      <w:r>
        <w:rPr>
          <w:lang w:val="en-US"/>
        </w:rPr>
        <w:instrText xml:space="preserve"> BIBLIOGRAPHY  \l 1033 </w:instrText>
      </w:r>
      <w:r>
        <w:fldChar w:fldCharType="separate"/>
      </w:r>
      <w:r w:rsidR="00A46ACD">
        <w:rPr>
          <w:noProof/>
        </w:rPr>
        <w:t xml:space="preserve">Bain-Selbo, Eric. "From Pride to Cowardice: Obstacles to the Dialogical Classroom." </w:t>
      </w:r>
      <w:r w:rsidR="00A46ACD">
        <w:rPr>
          <w:i/>
          <w:iCs/>
          <w:noProof/>
        </w:rPr>
        <w:t>Teaching Theology and Religion</w:t>
      </w:r>
      <w:r w:rsidR="00A46ACD">
        <w:rPr>
          <w:noProof/>
        </w:rPr>
        <w:t xml:space="preserve"> 6, no. 1 (2003): 3-8.</w:t>
      </w:r>
    </w:p>
    <w:p w:rsidR="00A46ACD" w:rsidRDefault="00A46ACD" w:rsidP="00202B2E">
      <w:pPr>
        <w:pStyle w:val="Bibliography"/>
        <w:ind w:left="720" w:hanging="720"/>
        <w:rPr>
          <w:noProof/>
        </w:rPr>
      </w:pPr>
      <w:r>
        <w:rPr>
          <w:noProof/>
        </w:rPr>
        <w:t xml:space="preserve">Canell, Linda. "Opportunities for 21st Century Theological Education." In </w:t>
      </w:r>
      <w:r>
        <w:rPr>
          <w:i/>
          <w:iCs/>
          <w:noProof/>
        </w:rPr>
        <w:t>Theological Education as Mission</w:t>
      </w:r>
      <w:r>
        <w:rPr>
          <w:noProof/>
        </w:rPr>
        <w:t>, by Peter F. Penner, 153-170. Scharzenfeld, Germany: Neufeld Verlag, 2005.</w:t>
      </w:r>
    </w:p>
    <w:p w:rsidR="00A46ACD" w:rsidRDefault="00A46ACD" w:rsidP="00202B2E">
      <w:pPr>
        <w:pStyle w:val="Bibliography"/>
        <w:ind w:left="720" w:hanging="720"/>
        <w:rPr>
          <w:noProof/>
        </w:rPr>
      </w:pPr>
      <w:r>
        <w:rPr>
          <w:noProof/>
        </w:rPr>
        <w:t>Cheesman, Graham. "CTE 1 - Philosophy of Theological Education: The Role of the Tutor." Unpublished Class Notes, n.d.</w:t>
      </w:r>
    </w:p>
    <w:p w:rsidR="00A46ACD" w:rsidRDefault="00A46ACD" w:rsidP="00202B2E">
      <w:pPr>
        <w:pStyle w:val="Bibliography"/>
        <w:ind w:left="720" w:hanging="720"/>
        <w:rPr>
          <w:noProof/>
        </w:rPr>
      </w:pPr>
      <w:r>
        <w:rPr>
          <w:noProof/>
        </w:rPr>
        <w:t xml:space="preserve">Donovan, Vincent J. </w:t>
      </w:r>
      <w:r>
        <w:rPr>
          <w:i/>
          <w:iCs/>
          <w:noProof/>
        </w:rPr>
        <w:t>Christianity Rediscovered.</w:t>
      </w:r>
      <w:r>
        <w:rPr>
          <w:noProof/>
        </w:rPr>
        <w:t xml:space="preserve"> Twenty-Fifth Anniversary Edition. Maryknoll, New York: Orbis Books, 2003.</w:t>
      </w:r>
    </w:p>
    <w:p w:rsidR="00A46ACD" w:rsidRDefault="00A46ACD" w:rsidP="00202B2E">
      <w:pPr>
        <w:pStyle w:val="Bibliography"/>
        <w:ind w:left="720" w:hanging="720"/>
        <w:rPr>
          <w:noProof/>
        </w:rPr>
      </w:pPr>
      <w:r>
        <w:rPr>
          <w:noProof/>
        </w:rPr>
        <w:t xml:space="preserve">Feodorov, Vladimir. "Orthodox View on Theological Education as Mission." In </w:t>
      </w:r>
      <w:r>
        <w:rPr>
          <w:i/>
          <w:iCs/>
          <w:noProof/>
        </w:rPr>
        <w:t>Theological Education as Mission</w:t>
      </w:r>
      <w:r>
        <w:rPr>
          <w:noProof/>
        </w:rPr>
        <w:t>, by Peter E. Penner, 69</w:t>
      </w:r>
      <w:r w:rsidR="0005054D">
        <w:rPr>
          <w:noProof/>
        </w:rPr>
        <w:t>-101. Scharzenfeld, Germany: Neu</w:t>
      </w:r>
      <w:r>
        <w:rPr>
          <w:noProof/>
        </w:rPr>
        <w:t>feld Verlag, 2005.</w:t>
      </w:r>
    </w:p>
    <w:p w:rsidR="00A46ACD" w:rsidRDefault="00A46ACD" w:rsidP="00202B2E">
      <w:pPr>
        <w:pStyle w:val="Bibliography"/>
        <w:ind w:left="720" w:hanging="720"/>
        <w:rPr>
          <w:noProof/>
        </w:rPr>
      </w:pPr>
      <w:r>
        <w:rPr>
          <w:noProof/>
        </w:rPr>
        <w:t xml:space="preserve">Foley, Edward. "Theological Education, Theology and Technology: When Baby Boomer Theologians Teach Generations X &amp; Y." </w:t>
      </w:r>
      <w:r>
        <w:rPr>
          <w:i/>
          <w:iCs/>
          <w:noProof/>
        </w:rPr>
        <w:t>Theological Education</w:t>
      </w:r>
      <w:r>
        <w:rPr>
          <w:noProof/>
        </w:rPr>
        <w:t xml:space="preserve"> 41, no. 1 (2005): 45-56.</w:t>
      </w:r>
    </w:p>
    <w:p w:rsidR="00A46ACD" w:rsidRDefault="00A46ACD" w:rsidP="00202B2E">
      <w:pPr>
        <w:pStyle w:val="Bibliography"/>
        <w:ind w:left="720" w:hanging="720"/>
        <w:rPr>
          <w:noProof/>
        </w:rPr>
      </w:pPr>
      <w:r>
        <w:rPr>
          <w:noProof/>
        </w:rPr>
        <w:t xml:space="preserve">Foster, Charles R., et al. "Pedagogies of Interpretation in Educating Clergy." </w:t>
      </w:r>
      <w:r>
        <w:rPr>
          <w:i/>
          <w:iCs/>
          <w:noProof/>
        </w:rPr>
        <w:t>Teaching Theology and Religion</w:t>
      </w:r>
      <w:r>
        <w:rPr>
          <w:noProof/>
        </w:rPr>
        <w:t xml:space="preserve"> 8, no. 4 (2005): 204-217.</w:t>
      </w:r>
    </w:p>
    <w:p w:rsidR="00A46ACD" w:rsidRDefault="00A46ACD" w:rsidP="00202B2E">
      <w:pPr>
        <w:pStyle w:val="Bibliography"/>
        <w:ind w:left="720" w:hanging="720"/>
        <w:rPr>
          <w:noProof/>
        </w:rPr>
      </w:pPr>
      <w:r>
        <w:rPr>
          <w:noProof/>
        </w:rPr>
        <w:t xml:space="preserve">Guyette, Frederick W. "Revisiting H. Richard Niebuhr's The Purpose of the Church and Its Ministry: Love of God and Neighbor in Theological Education." </w:t>
      </w:r>
      <w:r>
        <w:rPr>
          <w:i/>
          <w:iCs/>
          <w:noProof/>
        </w:rPr>
        <w:t>Theological Education</w:t>
      </w:r>
      <w:r>
        <w:rPr>
          <w:noProof/>
        </w:rPr>
        <w:t xml:space="preserve"> 41, no. 1 (2005): 153-164.</w:t>
      </w:r>
    </w:p>
    <w:p w:rsidR="00A46ACD" w:rsidRDefault="00A46ACD" w:rsidP="00202B2E">
      <w:pPr>
        <w:pStyle w:val="Bibliography"/>
        <w:ind w:left="720" w:hanging="720"/>
        <w:rPr>
          <w:noProof/>
        </w:rPr>
      </w:pPr>
      <w:r>
        <w:rPr>
          <w:noProof/>
        </w:rPr>
        <w:t xml:space="preserve">Heron, Sharon Jane Susanne. "An explanation of the relationship between tutor and student in the context of fulfilling the objectives of theological education, with special reference to the Colleges of the Institute of Theology at the Queen's University, Belfast." </w:t>
      </w:r>
      <w:r>
        <w:rPr>
          <w:i/>
          <w:iCs/>
          <w:noProof/>
        </w:rPr>
        <w:t>MTh, Queen's University Belfast.</w:t>
      </w:r>
      <w:r>
        <w:rPr>
          <w:noProof/>
        </w:rPr>
        <w:t xml:space="preserve"> January 2004.</w:t>
      </w:r>
    </w:p>
    <w:p w:rsidR="00A46ACD" w:rsidRDefault="00A46ACD" w:rsidP="00202B2E">
      <w:pPr>
        <w:pStyle w:val="Bibliography"/>
        <w:ind w:left="720" w:hanging="720"/>
        <w:rPr>
          <w:noProof/>
        </w:rPr>
      </w:pPr>
      <w:r>
        <w:rPr>
          <w:noProof/>
        </w:rPr>
        <w:t xml:space="preserve">Hill, Jack A. "Teaching for Transformation: Insights from Fiji, India, South America, and Jamaica." </w:t>
      </w:r>
      <w:r>
        <w:rPr>
          <w:i/>
          <w:iCs/>
          <w:noProof/>
        </w:rPr>
        <w:t>Teaching Theology and Religion</w:t>
      </w:r>
      <w:r>
        <w:rPr>
          <w:noProof/>
        </w:rPr>
        <w:t xml:space="preserve"> 8, no. 4 (2005): 218-231.</w:t>
      </w:r>
    </w:p>
    <w:p w:rsidR="00A46ACD" w:rsidRDefault="00A46ACD" w:rsidP="00202B2E">
      <w:pPr>
        <w:pStyle w:val="Bibliography"/>
        <w:ind w:left="720" w:hanging="720"/>
        <w:rPr>
          <w:noProof/>
        </w:rPr>
      </w:pPr>
      <w:r>
        <w:rPr>
          <w:noProof/>
        </w:rPr>
        <w:t xml:space="preserve">Kirk, Andrew. "Re-envisioning the Theological Curriculum as if the Missio Dei mattered." In </w:t>
      </w:r>
      <w:r>
        <w:rPr>
          <w:i/>
          <w:iCs/>
          <w:noProof/>
        </w:rPr>
        <w:t>Theological Education as Mission</w:t>
      </w:r>
      <w:r>
        <w:rPr>
          <w:noProof/>
        </w:rPr>
        <w:t>, by Peter F. Penner, 22-37. Scharzenfeld,Germany: Neufeld Verlag, 2005.</w:t>
      </w:r>
    </w:p>
    <w:p w:rsidR="00A46ACD" w:rsidRDefault="00A46ACD" w:rsidP="00202B2E">
      <w:pPr>
        <w:pStyle w:val="Bibliography"/>
        <w:ind w:left="720" w:hanging="720"/>
        <w:rPr>
          <w:noProof/>
        </w:rPr>
      </w:pPr>
      <w:r>
        <w:rPr>
          <w:noProof/>
        </w:rPr>
        <w:t xml:space="preserve">Malcolm, Lois. "Teaching as Cultivating Wisdom for a Complex World." In </w:t>
      </w:r>
      <w:r>
        <w:rPr>
          <w:i/>
          <w:iCs/>
          <w:noProof/>
        </w:rPr>
        <w:t>The Scope of Our Art: The Vocation of the Theological Tutor</w:t>
      </w:r>
      <w:r>
        <w:rPr>
          <w:noProof/>
        </w:rPr>
        <w:t>, by L. Gregory Jones and Stephanie Paulsell, 135-170. Grand Rapids: Eerdmans, 2002.</w:t>
      </w:r>
    </w:p>
    <w:p w:rsidR="00A46ACD" w:rsidRDefault="00A46ACD" w:rsidP="00202B2E">
      <w:pPr>
        <w:pStyle w:val="Bibliography"/>
        <w:ind w:left="720" w:hanging="720"/>
        <w:rPr>
          <w:noProof/>
        </w:rPr>
      </w:pPr>
      <w:r>
        <w:rPr>
          <w:noProof/>
        </w:rPr>
        <w:t xml:space="preserve">Nouwen, Henri J. M. </w:t>
      </w:r>
      <w:r>
        <w:rPr>
          <w:i/>
          <w:iCs/>
          <w:noProof/>
        </w:rPr>
        <w:t>Reaching Out: The Three Movements of the Spiritual Life.</w:t>
      </w:r>
      <w:r>
        <w:rPr>
          <w:noProof/>
        </w:rPr>
        <w:t xml:space="preserve"> Glasgow: William Collins Sons &amp; Co Ltd, 1976.</w:t>
      </w:r>
    </w:p>
    <w:p w:rsidR="00A46ACD" w:rsidRDefault="00A46ACD" w:rsidP="00202B2E">
      <w:pPr>
        <w:pStyle w:val="Bibliography"/>
        <w:ind w:left="720" w:hanging="720"/>
        <w:rPr>
          <w:noProof/>
        </w:rPr>
      </w:pPr>
      <w:r>
        <w:rPr>
          <w:noProof/>
        </w:rPr>
        <w:t xml:space="preserve">Ogletree, Thomas W. </w:t>
      </w:r>
      <w:r>
        <w:rPr>
          <w:i/>
          <w:iCs/>
          <w:noProof/>
        </w:rPr>
        <w:t>Hospitality to the Stranger: Dimensions of Moral Understanding.</w:t>
      </w:r>
      <w:r>
        <w:rPr>
          <w:noProof/>
        </w:rPr>
        <w:t xml:space="preserve"> Louisville: Westminster John Knox, 2003.</w:t>
      </w:r>
    </w:p>
    <w:p w:rsidR="00A46ACD" w:rsidRDefault="00A46ACD" w:rsidP="00202B2E">
      <w:pPr>
        <w:pStyle w:val="Bibliography"/>
        <w:ind w:left="720" w:hanging="720"/>
        <w:rPr>
          <w:noProof/>
        </w:rPr>
      </w:pPr>
      <w:r>
        <w:rPr>
          <w:noProof/>
        </w:rPr>
        <w:t xml:space="preserve">Palmer, Parker. </w:t>
      </w:r>
      <w:r>
        <w:rPr>
          <w:i/>
          <w:iCs/>
          <w:noProof/>
        </w:rPr>
        <w:t>To Know as we are Known.</w:t>
      </w:r>
      <w:r>
        <w:rPr>
          <w:noProof/>
        </w:rPr>
        <w:t xml:space="preserve"> New York: Harper Collins, 1993.</w:t>
      </w:r>
    </w:p>
    <w:p w:rsidR="00A46ACD" w:rsidRDefault="00A46ACD" w:rsidP="00202B2E">
      <w:pPr>
        <w:pStyle w:val="Bibliography"/>
        <w:ind w:left="720" w:hanging="720"/>
        <w:rPr>
          <w:noProof/>
        </w:rPr>
      </w:pPr>
      <w:r>
        <w:rPr>
          <w:noProof/>
        </w:rPr>
        <w:t xml:space="preserve">Pilli, Einike. "Toward a Holistic View of Theological Education: Response to Linda Cannell's paper 'Opportunities for 21st Century International Theological Education'." In </w:t>
      </w:r>
      <w:r>
        <w:rPr>
          <w:i/>
          <w:iCs/>
          <w:noProof/>
        </w:rPr>
        <w:t>Theological Education as Mission</w:t>
      </w:r>
      <w:r>
        <w:rPr>
          <w:noProof/>
        </w:rPr>
        <w:t>, by Peter F. Penner, 171-184. Scharzenfeld, Germany: Neufeld Verlag, 2005.</w:t>
      </w:r>
    </w:p>
    <w:p w:rsidR="00A46ACD" w:rsidRDefault="00A46ACD" w:rsidP="00202B2E">
      <w:pPr>
        <w:pStyle w:val="Bibliography"/>
        <w:ind w:left="720" w:hanging="720"/>
        <w:rPr>
          <w:noProof/>
        </w:rPr>
      </w:pPr>
      <w:r>
        <w:rPr>
          <w:noProof/>
        </w:rPr>
        <w:t xml:space="preserve">Rogers, Alan. </w:t>
      </w:r>
      <w:r>
        <w:rPr>
          <w:i/>
          <w:iCs/>
          <w:noProof/>
        </w:rPr>
        <w:t>Teaching Adults.</w:t>
      </w:r>
      <w:r>
        <w:rPr>
          <w:noProof/>
        </w:rPr>
        <w:t xml:space="preserve"> Third Edition. Maidenhead: Open University Press, 2002.</w:t>
      </w:r>
    </w:p>
    <w:p w:rsidR="00A46ACD" w:rsidRDefault="00A46ACD" w:rsidP="00202B2E">
      <w:pPr>
        <w:pStyle w:val="Bibliography"/>
        <w:ind w:left="720" w:hanging="720"/>
        <w:rPr>
          <w:noProof/>
        </w:rPr>
      </w:pPr>
      <w:r>
        <w:rPr>
          <w:noProof/>
        </w:rPr>
        <w:lastRenderedPageBreak/>
        <w:t xml:space="preserve">Simonaitis, Susan M. "Teaching as Conversation." In </w:t>
      </w:r>
      <w:r>
        <w:rPr>
          <w:i/>
          <w:iCs/>
          <w:noProof/>
        </w:rPr>
        <w:t>The Scope of Our Art: The Vocation of the Theological Tutor</w:t>
      </w:r>
      <w:r>
        <w:rPr>
          <w:noProof/>
        </w:rPr>
        <w:t>, by L. Gregory Jones and Stephanie Paulsell, 99-120. Grand Rapids: Eerdmans, 2002.</w:t>
      </w:r>
    </w:p>
    <w:p w:rsidR="00A46ACD" w:rsidRDefault="00A46ACD" w:rsidP="00202B2E">
      <w:pPr>
        <w:pStyle w:val="Bibliography"/>
        <w:ind w:left="720" w:hanging="720"/>
        <w:rPr>
          <w:noProof/>
        </w:rPr>
      </w:pPr>
      <w:r>
        <w:rPr>
          <w:noProof/>
        </w:rPr>
        <w:t xml:space="preserve">Tolkien, J. R. R. </w:t>
      </w:r>
      <w:r>
        <w:rPr>
          <w:i/>
          <w:iCs/>
          <w:noProof/>
        </w:rPr>
        <w:t>The Tolkien Reader.</w:t>
      </w:r>
      <w:r>
        <w:rPr>
          <w:noProof/>
        </w:rPr>
        <w:t xml:space="preserve"> New York: Ballantine, 1966.</w:t>
      </w:r>
    </w:p>
    <w:p w:rsidR="00A46ACD" w:rsidRDefault="00A46ACD" w:rsidP="00202B2E">
      <w:pPr>
        <w:pStyle w:val="Bibliography"/>
        <w:ind w:left="720" w:hanging="720"/>
        <w:rPr>
          <w:noProof/>
        </w:rPr>
      </w:pPr>
      <w:r>
        <w:rPr>
          <w:noProof/>
        </w:rPr>
        <w:t xml:space="preserve">Wadell, Paul. "Teaching as a Ministry of Hope." In </w:t>
      </w:r>
      <w:r>
        <w:rPr>
          <w:i/>
          <w:iCs/>
          <w:noProof/>
        </w:rPr>
        <w:t>The Scope of Our Art: The Vocation of the Theological Tutor</w:t>
      </w:r>
      <w:r>
        <w:rPr>
          <w:noProof/>
        </w:rPr>
        <w:t>, by L. Gregory Jones and Stephanie Paulsell, 120-135. Grand Rapids: Eerdmans, 2002.</w:t>
      </w:r>
    </w:p>
    <w:p w:rsidR="00A46ACD" w:rsidRDefault="00A46ACD" w:rsidP="00202B2E">
      <w:pPr>
        <w:pStyle w:val="Bibliography"/>
        <w:ind w:left="720" w:hanging="720"/>
        <w:rPr>
          <w:noProof/>
        </w:rPr>
      </w:pPr>
      <w:r>
        <w:rPr>
          <w:noProof/>
        </w:rPr>
        <w:t xml:space="preserve">Wimberley, Anne E. Streaty. "Hospitable Kinship in Theological Education." </w:t>
      </w:r>
      <w:r>
        <w:rPr>
          <w:i/>
          <w:iCs/>
          <w:noProof/>
        </w:rPr>
        <w:t>Teaching Theology and Religion</w:t>
      </w:r>
      <w:r>
        <w:rPr>
          <w:noProof/>
        </w:rPr>
        <w:t xml:space="preserve"> 7, no. 1 (2004): 3-12.</w:t>
      </w:r>
    </w:p>
    <w:p w:rsidR="003760E8" w:rsidRPr="006F1757" w:rsidRDefault="00E64024" w:rsidP="00202B2E">
      <w:pPr>
        <w:ind w:left="720" w:hanging="720"/>
      </w:pPr>
      <w:r>
        <w:fldChar w:fldCharType="end"/>
      </w:r>
    </w:p>
    <w:sectPr w:rsidR="003760E8" w:rsidRPr="006F1757" w:rsidSect="00827099">
      <w:headerReference w:type="default" r:id="rId8"/>
      <w:footerReference w:type="default" r:id="rId9"/>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C5D" w:rsidRDefault="007C5C5D" w:rsidP="00E707AE">
      <w:pPr>
        <w:spacing w:after="0" w:line="240" w:lineRule="auto"/>
      </w:pPr>
      <w:r>
        <w:separator/>
      </w:r>
    </w:p>
  </w:endnote>
  <w:endnote w:type="continuationSeparator" w:id="0">
    <w:p w:rsidR="007C5C5D" w:rsidRDefault="007C5C5D" w:rsidP="00E7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74" w:rsidRDefault="00F31674" w:rsidP="00827099">
    <w:pPr>
      <w:pStyle w:val="Footer"/>
      <w:jc w:val="right"/>
    </w:pPr>
  </w:p>
  <w:p w:rsidR="00F31674" w:rsidRDefault="00F31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C5D" w:rsidRDefault="007C5C5D" w:rsidP="00E707AE">
      <w:pPr>
        <w:spacing w:after="0" w:line="240" w:lineRule="auto"/>
      </w:pPr>
      <w:r>
        <w:separator/>
      </w:r>
    </w:p>
  </w:footnote>
  <w:footnote w:type="continuationSeparator" w:id="0">
    <w:p w:rsidR="007C5C5D" w:rsidRDefault="007C5C5D" w:rsidP="00E707AE">
      <w:pPr>
        <w:spacing w:after="0" w:line="240" w:lineRule="auto"/>
      </w:pPr>
      <w:r>
        <w:continuationSeparator/>
      </w:r>
    </w:p>
  </w:footnote>
  <w:footnote w:id="1">
    <w:p w:rsidR="00F31674" w:rsidRPr="006D3279" w:rsidRDefault="00F31674">
      <w:pPr>
        <w:pStyle w:val="FootnoteText"/>
        <w:rPr>
          <w:lang w:val="en-US"/>
        </w:rPr>
      </w:pPr>
      <w:r>
        <w:rPr>
          <w:rStyle w:val="FootnoteReference"/>
        </w:rPr>
        <w:footnoteRef/>
      </w:r>
      <w:r>
        <w:t xml:space="preserve"> </w:t>
      </w:r>
      <w:proofErr w:type="spellStart"/>
      <w:r w:rsidRPr="00013FF8">
        <w:rPr>
          <w:lang w:val="en-US"/>
        </w:rPr>
        <w:t>Eini</w:t>
      </w:r>
      <w:r>
        <w:rPr>
          <w:lang w:val="en-US"/>
        </w:rPr>
        <w:t>ke</w:t>
      </w:r>
      <w:proofErr w:type="spellEnd"/>
      <w:r>
        <w:rPr>
          <w:lang w:val="en-US"/>
        </w:rPr>
        <w:t xml:space="preserve"> Pilli, “</w:t>
      </w:r>
      <w:r w:rsidRPr="00013FF8">
        <w:rPr>
          <w:lang w:val="en-US"/>
        </w:rPr>
        <w:t>Toward a Holistic View of Theological Education: Res</w:t>
      </w:r>
      <w:r>
        <w:rPr>
          <w:lang w:val="en-US"/>
        </w:rPr>
        <w:t xml:space="preserve">ponse to Linda </w:t>
      </w:r>
      <w:proofErr w:type="spellStart"/>
      <w:r>
        <w:rPr>
          <w:lang w:val="en-US"/>
        </w:rPr>
        <w:t>Cannell’s</w:t>
      </w:r>
      <w:proofErr w:type="spellEnd"/>
      <w:r>
        <w:rPr>
          <w:lang w:val="en-US"/>
        </w:rPr>
        <w:t xml:space="preserve"> paper ‘</w:t>
      </w:r>
      <w:r w:rsidRPr="00013FF8">
        <w:rPr>
          <w:lang w:val="en-US"/>
        </w:rPr>
        <w:t>Opportunities for 21</w:t>
      </w:r>
      <w:r w:rsidRPr="00013FF8">
        <w:rPr>
          <w:vertAlign w:val="superscript"/>
          <w:lang w:val="en-US"/>
        </w:rPr>
        <w:t>st</w:t>
      </w:r>
      <w:r w:rsidRPr="00013FF8">
        <w:rPr>
          <w:lang w:val="en-US"/>
        </w:rPr>
        <w:t xml:space="preserve"> Century International Theological Education</w:t>
      </w:r>
      <w:r>
        <w:rPr>
          <w:lang w:val="en-US"/>
        </w:rPr>
        <w:t>’</w:t>
      </w:r>
      <w:r w:rsidRPr="00013FF8">
        <w:rPr>
          <w:lang w:val="en-US"/>
        </w:rPr>
        <w:t xml:space="preserve">” in </w:t>
      </w:r>
      <w:r w:rsidRPr="00013FF8">
        <w:rPr>
          <w:i/>
          <w:lang w:val="en-US"/>
        </w:rPr>
        <w:t>Theological Education as Mission</w:t>
      </w:r>
      <w:r w:rsidRPr="00013FF8">
        <w:rPr>
          <w:lang w:val="en-US"/>
        </w:rPr>
        <w:t xml:space="preserve">, ed. Peter F. </w:t>
      </w:r>
      <w:proofErr w:type="spellStart"/>
      <w:r w:rsidRPr="00013FF8">
        <w:rPr>
          <w:lang w:val="en-US"/>
        </w:rPr>
        <w:t>Penner</w:t>
      </w:r>
      <w:proofErr w:type="spellEnd"/>
      <w:r w:rsidRPr="00013FF8">
        <w:rPr>
          <w:lang w:val="en-US"/>
        </w:rPr>
        <w:t xml:space="preserve"> (</w:t>
      </w:r>
      <w:proofErr w:type="spellStart"/>
      <w:r w:rsidRPr="00013FF8">
        <w:rPr>
          <w:lang w:val="en-US"/>
        </w:rPr>
        <w:t>Scharzenfeld</w:t>
      </w:r>
      <w:proofErr w:type="spellEnd"/>
      <w:r w:rsidRPr="00013FF8">
        <w:rPr>
          <w:lang w:val="en-US"/>
        </w:rPr>
        <w:t xml:space="preserve">, Germany: Neufeld </w:t>
      </w:r>
      <w:proofErr w:type="spellStart"/>
      <w:r w:rsidRPr="00013FF8">
        <w:rPr>
          <w:lang w:val="en-US"/>
        </w:rPr>
        <w:t>Verlag</w:t>
      </w:r>
      <w:proofErr w:type="spellEnd"/>
      <w:r w:rsidRPr="00013FF8">
        <w:rPr>
          <w:lang w:val="en-US"/>
        </w:rPr>
        <w:t>, 2005)</w:t>
      </w:r>
      <w:r>
        <w:rPr>
          <w:lang w:val="en-US"/>
        </w:rPr>
        <w:t>, 174</w:t>
      </w:r>
    </w:p>
  </w:footnote>
  <w:footnote w:id="2">
    <w:p w:rsidR="00F31674" w:rsidRPr="00D70775" w:rsidRDefault="00F31674">
      <w:pPr>
        <w:pStyle w:val="FootnoteText"/>
        <w:rPr>
          <w:lang w:val="en-US"/>
        </w:rPr>
      </w:pPr>
      <w:r>
        <w:rPr>
          <w:rStyle w:val="FootnoteReference"/>
        </w:rPr>
        <w:footnoteRef/>
      </w:r>
      <w:r>
        <w:t xml:space="preserve"> </w:t>
      </w:r>
      <w:r>
        <w:rPr>
          <w:lang w:val="en-US"/>
        </w:rPr>
        <w:t xml:space="preserve">Linda </w:t>
      </w:r>
      <w:proofErr w:type="spellStart"/>
      <w:r>
        <w:rPr>
          <w:lang w:val="en-US"/>
        </w:rPr>
        <w:t>Cannell</w:t>
      </w:r>
      <w:proofErr w:type="spellEnd"/>
      <w:r w:rsidRPr="00E4098C">
        <w:rPr>
          <w:lang w:val="en-US"/>
        </w:rPr>
        <w:t xml:space="preserve"> </w:t>
      </w:r>
      <w:r>
        <w:rPr>
          <w:lang w:val="en-US"/>
        </w:rPr>
        <w:t>“</w:t>
      </w:r>
      <w:r w:rsidRPr="00E4098C">
        <w:rPr>
          <w:lang w:val="en-US"/>
        </w:rPr>
        <w:t>Opportunities for 21</w:t>
      </w:r>
      <w:r w:rsidRPr="00E4098C">
        <w:rPr>
          <w:vertAlign w:val="superscript"/>
          <w:lang w:val="en-US"/>
        </w:rPr>
        <w:t>st</w:t>
      </w:r>
      <w:r w:rsidRPr="00E4098C">
        <w:rPr>
          <w:lang w:val="en-US"/>
        </w:rPr>
        <w:t xml:space="preserve"> Century International Theological Education” in </w:t>
      </w:r>
      <w:r w:rsidRPr="00E4098C">
        <w:rPr>
          <w:i/>
          <w:lang w:val="en-US"/>
        </w:rPr>
        <w:t>Theological Education as Mission</w:t>
      </w:r>
      <w:r w:rsidRPr="00E4098C">
        <w:rPr>
          <w:lang w:val="en-US"/>
        </w:rPr>
        <w:t xml:space="preserve">, ed. Peter F. </w:t>
      </w:r>
      <w:proofErr w:type="spellStart"/>
      <w:r w:rsidRPr="00E4098C">
        <w:rPr>
          <w:lang w:val="en-US"/>
        </w:rPr>
        <w:t>Penner</w:t>
      </w:r>
      <w:proofErr w:type="spellEnd"/>
      <w:r w:rsidRPr="00E4098C">
        <w:rPr>
          <w:lang w:val="en-US"/>
        </w:rPr>
        <w:t xml:space="preserve"> (</w:t>
      </w:r>
      <w:proofErr w:type="spellStart"/>
      <w:r w:rsidRPr="00E4098C">
        <w:rPr>
          <w:lang w:val="en-US"/>
        </w:rPr>
        <w:t>Scharzenfeld</w:t>
      </w:r>
      <w:proofErr w:type="spellEnd"/>
      <w:r w:rsidRPr="00E4098C">
        <w:rPr>
          <w:lang w:val="en-US"/>
        </w:rPr>
        <w:t xml:space="preserve">, Germany: Neufeld </w:t>
      </w:r>
      <w:proofErr w:type="spellStart"/>
      <w:r w:rsidRPr="00E4098C">
        <w:rPr>
          <w:lang w:val="en-US"/>
        </w:rPr>
        <w:t>Verlag</w:t>
      </w:r>
      <w:proofErr w:type="spellEnd"/>
      <w:r w:rsidRPr="00E4098C">
        <w:rPr>
          <w:lang w:val="en-US"/>
        </w:rPr>
        <w:t>, 2005)</w:t>
      </w:r>
      <w:r>
        <w:rPr>
          <w:lang w:val="en-US"/>
        </w:rPr>
        <w:t>, 168.</w:t>
      </w:r>
    </w:p>
  </w:footnote>
  <w:footnote w:id="3">
    <w:p w:rsidR="00F31674" w:rsidRPr="00E4098C" w:rsidRDefault="00F31674">
      <w:pPr>
        <w:pStyle w:val="FootnoteText"/>
        <w:rPr>
          <w:lang w:val="en-US"/>
        </w:rPr>
      </w:pPr>
      <w:r>
        <w:rPr>
          <w:rStyle w:val="FootnoteReference"/>
        </w:rPr>
        <w:footnoteRef/>
      </w:r>
      <w:r>
        <w:t xml:space="preserve"> </w:t>
      </w:r>
      <w:proofErr w:type="spellStart"/>
      <w:r>
        <w:t>Cannell</w:t>
      </w:r>
      <w:proofErr w:type="spellEnd"/>
      <w:r>
        <w:t xml:space="preserve">, 157; </w:t>
      </w:r>
      <w:r>
        <w:rPr>
          <w:lang w:val="en-US"/>
        </w:rPr>
        <w:t xml:space="preserve">Graham Cheesman, “CTE 1 – Philosophy of Theological Education: The Role of the Tutor” (Unpublished Class Notes, </w:t>
      </w:r>
      <w:proofErr w:type="spellStart"/>
      <w:r>
        <w:rPr>
          <w:lang w:val="en-US"/>
        </w:rPr>
        <w:t>n.d.</w:t>
      </w:r>
      <w:proofErr w:type="spellEnd"/>
      <w:r>
        <w:rPr>
          <w:lang w:val="en-US"/>
        </w:rPr>
        <w:t>), 1.</w:t>
      </w:r>
    </w:p>
  </w:footnote>
  <w:footnote w:id="4">
    <w:p w:rsidR="00F31674" w:rsidRPr="000A2819" w:rsidRDefault="00F31674">
      <w:pPr>
        <w:pStyle w:val="FootnoteText"/>
        <w:rPr>
          <w:lang w:val="en-US"/>
        </w:rPr>
      </w:pPr>
      <w:r>
        <w:rPr>
          <w:rStyle w:val="FootnoteReference"/>
        </w:rPr>
        <w:footnoteRef/>
      </w:r>
      <w:r>
        <w:t xml:space="preserve"> </w:t>
      </w:r>
      <w:proofErr w:type="spellStart"/>
      <w:proofErr w:type="gramStart"/>
      <w:r>
        <w:rPr>
          <w:lang w:val="en-US"/>
        </w:rPr>
        <w:t>Cannell</w:t>
      </w:r>
      <w:proofErr w:type="spellEnd"/>
      <w:r>
        <w:rPr>
          <w:lang w:val="en-US"/>
        </w:rPr>
        <w:t>, 164.</w:t>
      </w:r>
      <w:proofErr w:type="gramEnd"/>
    </w:p>
  </w:footnote>
  <w:footnote w:id="5">
    <w:p w:rsidR="00F31674" w:rsidRPr="000A2819" w:rsidRDefault="00F31674">
      <w:pPr>
        <w:pStyle w:val="FootnoteText"/>
        <w:rPr>
          <w:lang w:val="en-US"/>
        </w:rPr>
      </w:pPr>
      <w:r>
        <w:rPr>
          <w:rStyle w:val="FootnoteReference"/>
        </w:rPr>
        <w:footnoteRef/>
      </w:r>
      <w:r>
        <w:t xml:space="preserve"> </w:t>
      </w:r>
      <w:r>
        <w:rPr>
          <w:lang w:val="en-US"/>
        </w:rPr>
        <w:t xml:space="preserve">Edward Foley, “Theological Reflection, Theology and Technology: When Baby Boomer Theologians Teach Generations X &amp; Y”, </w:t>
      </w:r>
      <w:r>
        <w:rPr>
          <w:i/>
          <w:lang w:val="en-US"/>
        </w:rPr>
        <w:t xml:space="preserve">Theological Education </w:t>
      </w:r>
      <w:r>
        <w:rPr>
          <w:lang w:val="en-US"/>
        </w:rPr>
        <w:t>41, no. 1 (2005): 54.</w:t>
      </w:r>
    </w:p>
  </w:footnote>
  <w:footnote w:id="6">
    <w:p w:rsidR="00F31674" w:rsidRPr="00D20D53" w:rsidRDefault="00F31674">
      <w:pPr>
        <w:pStyle w:val="FootnoteText"/>
        <w:rPr>
          <w:lang w:val="en-US"/>
        </w:rPr>
      </w:pPr>
      <w:r>
        <w:rPr>
          <w:rStyle w:val="FootnoteReference"/>
        </w:rPr>
        <w:footnoteRef/>
      </w:r>
      <w:r>
        <w:t xml:space="preserve"> </w:t>
      </w:r>
      <w:r>
        <w:rPr>
          <w:lang w:val="en-US"/>
        </w:rPr>
        <w:t xml:space="preserve">Frederick W. </w:t>
      </w:r>
      <w:proofErr w:type="spellStart"/>
      <w:r>
        <w:rPr>
          <w:lang w:val="en-US"/>
        </w:rPr>
        <w:t>Guyette</w:t>
      </w:r>
      <w:proofErr w:type="spellEnd"/>
      <w:r>
        <w:rPr>
          <w:lang w:val="en-US"/>
        </w:rPr>
        <w:t xml:space="preserve">, “Revisiting H. Richard Niebuhr’s </w:t>
      </w:r>
      <w:r>
        <w:rPr>
          <w:i/>
          <w:lang w:val="en-US"/>
        </w:rPr>
        <w:t>The Purpose of the Church in Its Ministry</w:t>
      </w:r>
      <w:r>
        <w:rPr>
          <w:lang w:val="en-US"/>
        </w:rPr>
        <w:t xml:space="preserve">: Love of God and Neighbor as the Goal of Theological Education”, </w:t>
      </w:r>
      <w:r>
        <w:rPr>
          <w:i/>
          <w:lang w:val="en-US"/>
        </w:rPr>
        <w:t>Theological Education</w:t>
      </w:r>
      <w:r>
        <w:rPr>
          <w:lang w:val="en-US"/>
        </w:rPr>
        <w:t xml:space="preserve"> 41, no. 1 (2005): 159.</w:t>
      </w:r>
    </w:p>
  </w:footnote>
  <w:footnote w:id="7">
    <w:p w:rsidR="00F31674" w:rsidRPr="001A594F" w:rsidRDefault="00F31674">
      <w:pPr>
        <w:pStyle w:val="FootnoteText"/>
        <w:rPr>
          <w:lang w:val="en-US"/>
        </w:rPr>
      </w:pPr>
      <w:r>
        <w:rPr>
          <w:rStyle w:val="FootnoteReference"/>
        </w:rPr>
        <w:footnoteRef/>
      </w:r>
      <w:r>
        <w:t xml:space="preserve"> </w:t>
      </w:r>
      <w:proofErr w:type="gramStart"/>
      <w:r>
        <w:rPr>
          <w:lang w:val="en-US"/>
        </w:rPr>
        <w:t>Ibid, 160.</w:t>
      </w:r>
      <w:proofErr w:type="gramEnd"/>
    </w:p>
  </w:footnote>
  <w:footnote w:id="8">
    <w:p w:rsidR="00F31674" w:rsidRPr="00E707AE" w:rsidRDefault="00F31674">
      <w:pPr>
        <w:pStyle w:val="FootnoteText"/>
        <w:rPr>
          <w:lang w:val="en-US"/>
        </w:rPr>
      </w:pPr>
      <w:r>
        <w:rPr>
          <w:rStyle w:val="FootnoteReference"/>
        </w:rPr>
        <w:footnoteRef/>
      </w:r>
      <w:r>
        <w:t xml:space="preserve"> </w:t>
      </w:r>
      <w:r>
        <w:rPr>
          <w:lang w:val="en-US"/>
        </w:rPr>
        <w:t xml:space="preserve">Jack Hill, “Teaching for Transformation:  Insights from Fiji, India, South Africa, and Jamaica”, </w:t>
      </w:r>
      <w:r>
        <w:rPr>
          <w:i/>
          <w:lang w:val="en-US"/>
        </w:rPr>
        <w:t>Teaching Theology and Religion</w:t>
      </w:r>
      <w:r>
        <w:rPr>
          <w:lang w:val="en-US"/>
        </w:rPr>
        <w:t xml:space="preserve"> 8, no.4 (2005): 220.</w:t>
      </w:r>
    </w:p>
  </w:footnote>
  <w:footnote w:id="9">
    <w:p w:rsidR="00F31674" w:rsidRPr="00186D27" w:rsidRDefault="00F31674">
      <w:pPr>
        <w:pStyle w:val="FootnoteText"/>
        <w:rPr>
          <w:lang w:val="en-US"/>
        </w:rPr>
      </w:pPr>
      <w:r>
        <w:rPr>
          <w:rStyle w:val="FootnoteReference"/>
        </w:rPr>
        <w:footnoteRef/>
      </w:r>
      <w:r>
        <w:t xml:space="preserve"> </w:t>
      </w:r>
      <w:r>
        <w:rPr>
          <w:lang w:val="en-US"/>
        </w:rPr>
        <w:t xml:space="preserve">Anne E. </w:t>
      </w:r>
      <w:proofErr w:type="spellStart"/>
      <w:r>
        <w:rPr>
          <w:lang w:val="en-US"/>
        </w:rPr>
        <w:t>Streaty</w:t>
      </w:r>
      <w:proofErr w:type="spellEnd"/>
      <w:r>
        <w:rPr>
          <w:lang w:val="en-US"/>
        </w:rPr>
        <w:t xml:space="preserve"> </w:t>
      </w:r>
      <w:proofErr w:type="spellStart"/>
      <w:r>
        <w:rPr>
          <w:lang w:val="en-US"/>
        </w:rPr>
        <w:t>Wimberly</w:t>
      </w:r>
      <w:proofErr w:type="spellEnd"/>
      <w:r>
        <w:rPr>
          <w:lang w:val="en-US"/>
        </w:rPr>
        <w:t xml:space="preserve">, “Hospitable Kinship in Theological Education: Cross-Cultural Perspectives on Teaching and Learning as Gift Exchange”, </w:t>
      </w:r>
      <w:r>
        <w:rPr>
          <w:i/>
          <w:lang w:val="en-US"/>
        </w:rPr>
        <w:t xml:space="preserve">Teaching Theology and Religion </w:t>
      </w:r>
      <w:r>
        <w:rPr>
          <w:lang w:val="en-US"/>
        </w:rPr>
        <w:t>7, no. 1 (2004): 6.</w:t>
      </w:r>
    </w:p>
  </w:footnote>
  <w:footnote w:id="10">
    <w:p w:rsidR="00F31674" w:rsidRPr="00352FE1" w:rsidRDefault="00F31674" w:rsidP="00172DE6">
      <w:pPr>
        <w:pStyle w:val="FootnoteText"/>
        <w:rPr>
          <w:lang w:val="en-US"/>
        </w:rPr>
      </w:pPr>
      <w:r>
        <w:rPr>
          <w:rStyle w:val="FootnoteReference"/>
        </w:rPr>
        <w:footnoteRef/>
      </w:r>
      <w:r>
        <w:t xml:space="preserve"> </w:t>
      </w:r>
      <w:r>
        <w:rPr>
          <w:lang w:val="en-US"/>
        </w:rPr>
        <w:t>Luke 24:17, author’s translation</w:t>
      </w:r>
    </w:p>
  </w:footnote>
  <w:footnote w:id="11">
    <w:p w:rsidR="00F31674" w:rsidRPr="00524C12" w:rsidRDefault="00F31674">
      <w:pPr>
        <w:pStyle w:val="FootnoteText"/>
        <w:rPr>
          <w:lang w:val="en-US"/>
        </w:rPr>
      </w:pPr>
      <w:r>
        <w:rPr>
          <w:rStyle w:val="FootnoteReference"/>
        </w:rPr>
        <w:footnoteRef/>
      </w:r>
      <w:r>
        <w:t xml:space="preserve"> </w:t>
      </w:r>
      <w:r>
        <w:rPr>
          <w:lang w:val="en-US"/>
        </w:rPr>
        <w:t xml:space="preserve">Vincent Donovan, </w:t>
      </w:r>
      <w:r>
        <w:rPr>
          <w:i/>
          <w:lang w:val="en-US"/>
        </w:rPr>
        <w:t>Christianity Rediscovered</w:t>
      </w:r>
      <w:r>
        <w:rPr>
          <w:lang w:val="en-US"/>
        </w:rPr>
        <w:t>, 25</w:t>
      </w:r>
      <w:r w:rsidRPr="00524C12">
        <w:rPr>
          <w:vertAlign w:val="superscript"/>
          <w:lang w:val="en-US"/>
        </w:rPr>
        <w:t>th</w:t>
      </w:r>
      <w:r>
        <w:rPr>
          <w:lang w:val="en-US"/>
        </w:rPr>
        <w:t xml:space="preserve"> Anniversary Edition (</w:t>
      </w:r>
      <w:proofErr w:type="spellStart"/>
      <w:r>
        <w:rPr>
          <w:lang w:val="en-US"/>
        </w:rPr>
        <w:t>Maryknoll</w:t>
      </w:r>
      <w:proofErr w:type="spellEnd"/>
      <w:r>
        <w:rPr>
          <w:lang w:val="en-US"/>
        </w:rPr>
        <w:t xml:space="preserve">, New York: </w:t>
      </w:r>
      <w:proofErr w:type="spellStart"/>
      <w:r>
        <w:rPr>
          <w:lang w:val="en-US"/>
        </w:rPr>
        <w:t>Orbis</w:t>
      </w:r>
      <w:proofErr w:type="spellEnd"/>
      <w:r>
        <w:rPr>
          <w:lang w:val="en-US"/>
        </w:rPr>
        <w:t xml:space="preserve"> Books, 2003), xii.</w:t>
      </w:r>
    </w:p>
  </w:footnote>
  <w:footnote w:id="12">
    <w:p w:rsidR="00F31674" w:rsidRPr="00E069A2" w:rsidRDefault="00F31674" w:rsidP="00172DE6">
      <w:pPr>
        <w:pStyle w:val="FootnoteText"/>
        <w:rPr>
          <w:lang w:val="en-US"/>
        </w:rPr>
      </w:pPr>
      <w:r>
        <w:rPr>
          <w:rStyle w:val="FootnoteReference"/>
        </w:rPr>
        <w:footnoteRef/>
      </w:r>
      <w:r>
        <w:t xml:space="preserve"> </w:t>
      </w:r>
      <w:proofErr w:type="gramStart"/>
      <w:r>
        <w:rPr>
          <w:lang w:val="en-US"/>
        </w:rPr>
        <w:t>Cheesman, 1.</w:t>
      </w:r>
      <w:proofErr w:type="gramEnd"/>
    </w:p>
  </w:footnote>
  <w:footnote w:id="13">
    <w:p w:rsidR="00F31674" w:rsidRPr="00110165" w:rsidRDefault="00F31674">
      <w:pPr>
        <w:pStyle w:val="FootnoteText"/>
        <w:rPr>
          <w:lang w:val="en-US"/>
        </w:rPr>
      </w:pPr>
      <w:r>
        <w:rPr>
          <w:rStyle w:val="FootnoteReference"/>
        </w:rPr>
        <w:footnoteRef/>
      </w:r>
      <w:r>
        <w:t xml:space="preserve"> Andrew Kirk, “</w:t>
      </w:r>
      <w:r w:rsidRPr="002B7EAC">
        <w:t xml:space="preserve">Re-envisioning the Theological Curriculum as if the </w:t>
      </w:r>
      <w:proofErr w:type="spellStart"/>
      <w:r w:rsidRPr="002B7EAC">
        <w:rPr>
          <w:i/>
        </w:rPr>
        <w:t>Missio</w:t>
      </w:r>
      <w:proofErr w:type="spellEnd"/>
      <w:r w:rsidRPr="002B7EAC">
        <w:rPr>
          <w:i/>
        </w:rPr>
        <w:t xml:space="preserve"> Dei </w:t>
      </w:r>
      <w:r>
        <w:t xml:space="preserve">mattered”, </w:t>
      </w:r>
      <w:r w:rsidRPr="002B7EAC">
        <w:rPr>
          <w:lang w:val="en-US"/>
        </w:rPr>
        <w:t xml:space="preserve">in </w:t>
      </w:r>
      <w:r w:rsidRPr="002B7EAC">
        <w:rPr>
          <w:i/>
          <w:lang w:val="en-US"/>
        </w:rPr>
        <w:t>Theological Education as Mission</w:t>
      </w:r>
      <w:r w:rsidRPr="002B7EAC">
        <w:rPr>
          <w:lang w:val="en-US"/>
        </w:rPr>
        <w:t xml:space="preserve">, ed. Peter F. </w:t>
      </w:r>
      <w:proofErr w:type="spellStart"/>
      <w:r w:rsidRPr="002B7EAC">
        <w:rPr>
          <w:lang w:val="en-US"/>
        </w:rPr>
        <w:t>Penner</w:t>
      </w:r>
      <w:proofErr w:type="spellEnd"/>
      <w:r w:rsidRPr="002B7EAC">
        <w:rPr>
          <w:lang w:val="en-US"/>
        </w:rPr>
        <w:t xml:space="preserve"> (</w:t>
      </w:r>
      <w:proofErr w:type="spellStart"/>
      <w:r w:rsidRPr="002B7EAC">
        <w:rPr>
          <w:lang w:val="en-US"/>
        </w:rPr>
        <w:t>Scharzenfeld</w:t>
      </w:r>
      <w:proofErr w:type="spellEnd"/>
      <w:r w:rsidRPr="002B7EAC">
        <w:rPr>
          <w:lang w:val="en-US"/>
        </w:rPr>
        <w:t xml:space="preserve">, Germany: Neufeld </w:t>
      </w:r>
      <w:proofErr w:type="spellStart"/>
      <w:r w:rsidRPr="002B7EAC">
        <w:rPr>
          <w:lang w:val="en-US"/>
        </w:rPr>
        <w:t>Verlag</w:t>
      </w:r>
      <w:proofErr w:type="spellEnd"/>
      <w:r w:rsidRPr="002B7EAC">
        <w:rPr>
          <w:lang w:val="en-US"/>
        </w:rPr>
        <w:t>, 2005)</w:t>
      </w:r>
      <w:r>
        <w:rPr>
          <w:lang w:val="en-US"/>
        </w:rPr>
        <w:t>, 36 [footnote]</w:t>
      </w:r>
    </w:p>
  </w:footnote>
  <w:footnote w:id="14">
    <w:p w:rsidR="00F31674" w:rsidRPr="00363C80" w:rsidRDefault="00F31674">
      <w:pPr>
        <w:pStyle w:val="FootnoteText"/>
        <w:rPr>
          <w:lang w:val="en-US"/>
        </w:rPr>
      </w:pPr>
      <w:r>
        <w:rPr>
          <w:rStyle w:val="FootnoteReference"/>
        </w:rPr>
        <w:footnoteRef/>
      </w:r>
      <w:r>
        <w:t xml:space="preserve"> </w:t>
      </w:r>
      <w:r>
        <w:rPr>
          <w:lang w:val="en-US"/>
        </w:rPr>
        <w:t>Sharon Jane Suzanne Heron, “An exploration of the relationship between tutor and student in the context of fulfilling the objectives of theological education, with special reference to the Colleges of the Institute of Theology at The Queen’s University, Belfast” (MTh Dissertation, Queen’s University Belfast, 2004), 23.</w:t>
      </w:r>
    </w:p>
  </w:footnote>
  <w:footnote w:id="15">
    <w:p w:rsidR="00F31674" w:rsidRPr="00D60080" w:rsidRDefault="00F31674">
      <w:pPr>
        <w:pStyle w:val="FootnoteText"/>
        <w:rPr>
          <w:lang w:val="en-US"/>
        </w:rPr>
      </w:pPr>
      <w:r>
        <w:rPr>
          <w:rStyle w:val="FootnoteReference"/>
        </w:rPr>
        <w:footnoteRef/>
      </w:r>
      <w:r>
        <w:t xml:space="preserve"> </w:t>
      </w:r>
      <w:r>
        <w:rPr>
          <w:lang w:val="en-US"/>
        </w:rPr>
        <w:t xml:space="preserve">Alan Rogers, </w:t>
      </w:r>
      <w:r>
        <w:rPr>
          <w:i/>
          <w:lang w:val="en-US"/>
        </w:rPr>
        <w:t>Teaching Adults</w:t>
      </w:r>
      <w:r>
        <w:rPr>
          <w:lang w:val="en-US"/>
        </w:rPr>
        <w:t>, Third Edition (Maidenhead: Open University Press, 2002), 101-102.</w:t>
      </w:r>
    </w:p>
  </w:footnote>
  <w:footnote w:id="16">
    <w:p w:rsidR="00F31674" w:rsidRPr="00172DE6" w:rsidRDefault="00F31674" w:rsidP="00172DE6">
      <w:pPr>
        <w:pStyle w:val="FootnoteText"/>
        <w:rPr>
          <w:lang w:val="en-US"/>
        </w:rPr>
      </w:pPr>
      <w:r>
        <w:rPr>
          <w:rStyle w:val="FootnoteReference"/>
        </w:rPr>
        <w:footnoteRef/>
      </w:r>
      <w:r>
        <w:t xml:space="preserve"> </w:t>
      </w:r>
      <w:proofErr w:type="gramStart"/>
      <w:r>
        <w:t>Ibid</w:t>
      </w:r>
      <w:r>
        <w:rPr>
          <w:lang w:val="en-US"/>
        </w:rPr>
        <w:t>, 73.</w:t>
      </w:r>
      <w:proofErr w:type="gramEnd"/>
    </w:p>
  </w:footnote>
  <w:footnote w:id="17">
    <w:p w:rsidR="00F31674" w:rsidRPr="00F67957" w:rsidRDefault="00F31674">
      <w:pPr>
        <w:pStyle w:val="FootnoteText"/>
        <w:rPr>
          <w:lang w:val="en-US"/>
        </w:rPr>
      </w:pPr>
      <w:r>
        <w:rPr>
          <w:rStyle w:val="FootnoteReference"/>
        </w:rPr>
        <w:footnoteRef/>
      </w:r>
      <w:r>
        <w:t xml:space="preserve"> </w:t>
      </w:r>
      <w:proofErr w:type="gramStart"/>
      <w:r>
        <w:t>Ibid, 74.</w:t>
      </w:r>
      <w:proofErr w:type="gramEnd"/>
    </w:p>
  </w:footnote>
  <w:footnote w:id="18">
    <w:p w:rsidR="00F31674" w:rsidRPr="000A098E" w:rsidRDefault="00F31674">
      <w:pPr>
        <w:pStyle w:val="FootnoteText"/>
        <w:rPr>
          <w:lang w:val="en-US"/>
        </w:rPr>
      </w:pPr>
      <w:r>
        <w:rPr>
          <w:rStyle w:val="FootnoteReference"/>
        </w:rPr>
        <w:footnoteRef/>
      </w:r>
      <w:r>
        <w:t xml:space="preserve"> </w:t>
      </w:r>
      <w:proofErr w:type="gramStart"/>
      <w:r>
        <w:rPr>
          <w:lang w:val="en-US"/>
        </w:rPr>
        <w:t>Ibid, 75.</w:t>
      </w:r>
      <w:proofErr w:type="gramEnd"/>
    </w:p>
  </w:footnote>
  <w:footnote w:id="19">
    <w:p w:rsidR="00F31674" w:rsidRPr="001C43E6" w:rsidRDefault="00F31674">
      <w:pPr>
        <w:pStyle w:val="FootnoteText"/>
        <w:rPr>
          <w:lang w:val="en-US"/>
        </w:rPr>
      </w:pPr>
      <w:r>
        <w:rPr>
          <w:rStyle w:val="FootnoteReference"/>
        </w:rPr>
        <w:footnoteRef/>
      </w:r>
      <w:r>
        <w:t xml:space="preserve"> </w:t>
      </w:r>
      <w:proofErr w:type="spellStart"/>
      <w:proofErr w:type="gramStart"/>
      <w:r>
        <w:rPr>
          <w:lang w:val="en-US"/>
        </w:rPr>
        <w:t>Wimberly</w:t>
      </w:r>
      <w:proofErr w:type="spellEnd"/>
      <w:r>
        <w:rPr>
          <w:lang w:val="en-US"/>
        </w:rPr>
        <w:t>, 6.</w:t>
      </w:r>
      <w:proofErr w:type="gramEnd"/>
    </w:p>
  </w:footnote>
  <w:footnote w:id="20">
    <w:p w:rsidR="00F31674" w:rsidRPr="00DE6E20" w:rsidRDefault="00F31674">
      <w:pPr>
        <w:pStyle w:val="FootnoteText"/>
        <w:rPr>
          <w:lang w:val="en-US"/>
        </w:rPr>
      </w:pPr>
      <w:r>
        <w:rPr>
          <w:rStyle w:val="FootnoteReference"/>
        </w:rPr>
        <w:footnoteRef/>
      </w:r>
      <w:r>
        <w:t xml:space="preserve"> </w:t>
      </w:r>
      <w:r>
        <w:rPr>
          <w:lang w:val="en-US"/>
        </w:rPr>
        <w:t>Ibid.</w:t>
      </w:r>
    </w:p>
  </w:footnote>
  <w:footnote w:id="21">
    <w:p w:rsidR="00F31674" w:rsidRPr="003A432F" w:rsidRDefault="00F31674">
      <w:pPr>
        <w:pStyle w:val="FootnoteText"/>
        <w:rPr>
          <w:lang w:val="en-US"/>
        </w:rPr>
      </w:pPr>
      <w:r>
        <w:rPr>
          <w:rStyle w:val="FootnoteReference"/>
        </w:rPr>
        <w:footnoteRef/>
      </w:r>
      <w:r>
        <w:t xml:space="preserve"> </w:t>
      </w:r>
      <w:r>
        <w:rPr>
          <w:lang w:val="en-US"/>
        </w:rPr>
        <w:t xml:space="preserve">Lois Malcolm, “Teaching as Cultivating Wisdom for a Complex World”, in </w:t>
      </w:r>
      <w:proofErr w:type="gramStart"/>
      <w:r>
        <w:rPr>
          <w:i/>
          <w:lang w:val="en-US"/>
        </w:rPr>
        <w:t>The</w:t>
      </w:r>
      <w:proofErr w:type="gramEnd"/>
      <w:r>
        <w:rPr>
          <w:i/>
          <w:lang w:val="en-US"/>
        </w:rPr>
        <w:t xml:space="preserve"> Scope of Our Art: The Vocation of the Theological Tutor</w:t>
      </w:r>
      <w:r>
        <w:rPr>
          <w:lang w:val="en-US"/>
        </w:rPr>
        <w:t xml:space="preserve">, ed. L. Gregory Jones and Stephanie </w:t>
      </w:r>
      <w:proofErr w:type="spellStart"/>
      <w:r>
        <w:rPr>
          <w:lang w:val="en-US"/>
        </w:rPr>
        <w:t>Paulsell</w:t>
      </w:r>
      <w:proofErr w:type="spellEnd"/>
      <w:r>
        <w:rPr>
          <w:lang w:val="en-US"/>
        </w:rPr>
        <w:t xml:space="preserve"> (Grand Rapids: Eerdmans, 2002), 135.</w:t>
      </w:r>
    </w:p>
  </w:footnote>
  <w:footnote w:id="22">
    <w:p w:rsidR="00F31674" w:rsidRPr="003A432F" w:rsidRDefault="00F31674" w:rsidP="00145410">
      <w:pPr>
        <w:pStyle w:val="FootnoteText"/>
        <w:tabs>
          <w:tab w:val="left" w:pos="2256"/>
        </w:tabs>
        <w:rPr>
          <w:lang w:val="en-US"/>
        </w:rPr>
      </w:pPr>
      <w:r>
        <w:rPr>
          <w:rStyle w:val="FootnoteReference"/>
        </w:rPr>
        <w:footnoteRef/>
      </w:r>
      <w:r>
        <w:rPr>
          <w:lang w:val="en-US"/>
        </w:rPr>
        <w:t xml:space="preserve"> </w:t>
      </w:r>
      <w:proofErr w:type="gramStart"/>
      <w:r>
        <w:rPr>
          <w:lang w:val="en-US"/>
        </w:rPr>
        <w:t>Hill, 221.</w:t>
      </w:r>
      <w:proofErr w:type="gramEnd"/>
      <w:r>
        <w:rPr>
          <w:lang w:val="en-US"/>
        </w:rPr>
        <w:tab/>
      </w:r>
    </w:p>
  </w:footnote>
  <w:footnote w:id="23">
    <w:p w:rsidR="00F31674" w:rsidRPr="00C42B40" w:rsidRDefault="00F31674">
      <w:pPr>
        <w:pStyle w:val="FootnoteText"/>
        <w:rPr>
          <w:lang w:val="en-US"/>
        </w:rPr>
      </w:pPr>
      <w:r>
        <w:rPr>
          <w:rStyle w:val="FootnoteReference"/>
        </w:rPr>
        <w:footnoteRef/>
      </w:r>
      <w:r>
        <w:t xml:space="preserve"> </w:t>
      </w:r>
      <w:r>
        <w:rPr>
          <w:lang w:val="en-US"/>
        </w:rPr>
        <w:t xml:space="preserve">Michael Battle, “Teaching and Learning as Ceaseless Prayer”, in </w:t>
      </w:r>
      <w:proofErr w:type="gramStart"/>
      <w:r>
        <w:rPr>
          <w:i/>
          <w:lang w:val="en-US"/>
        </w:rPr>
        <w:t>The</w:t>
      </w:r>
      <w:proofErr w:type="gramEnd"/>
      <w:r>
        <w:rPr>
          <w:i/>
          <w:lang w:val="en-US"/>
        </w:rPr>
        <w:t xml:space="preserve"> Scope of Our Art: The Vocation of the Theological Tutor</w:t>
      </w:r>
      <w:r>
        <w:rPr>
          <w:lang w:val="en-US"/>
        </w:rPr>
        <w:t xml:space="preserve">, ed. L. Gregory Jones and Stephanie </w:t>
      </w:r>
      <w:proofErr w:type="spellStart"/>
      <w:r>
        <w:rPr>
          <w:lang w:val="en-US"/>
        </w:rPr>
        <w:t>Paulsell</w:t>
      </w:r>
      <w:proofErr w:type="spellEnd"/>
      <w:r>
        <w:rPr>
          <w:lang w:val="en-US"/>
        </w:rPr>
        <w:t xml:space="preserve"> (Grand Rapids: Eerdmans, 2002), 165-166.</w:t>
      </w:r>
    </w:p>
  </w:footnote>
  <w:footnote w:id="24">
    <w:p w:rsidR="00F31674" w:rsidRPr="000E6A6F" w:rsidRDefault="00F31674">
      <w:pPr>
        <w:pStyle w:val="FootnoteText"/>
        <w:rPr>
          <w:lang w:val="en-US"/>
        </w:rPr>
      </w:pPr>
      <w:r>
        <w:rPr>
          <w:rStyle w:val="FootnoteReference"/>
        </w:rPr>
        <w:footnoteRef/>
      </w:r>
      <w:r>
        <w:t xml:space="preserve"> </w:t>
      </w:r>
      <w:proofErr w:type="gramStart"/>
      <w:r>
        <w:rPr>
          <w:lang w:val="en-US"/>
        </w:rPr>
        <w:t>Hill, 221; Battle, 166.</w:t>
      </w:r>
      <w:proofErr w:type="gramEnd"/>
    </w:p>
  </w:footnote>
  <w:footnote w:id="25">
    <w:p w:rsidR="00F31674" w:rsidRPr="00C64379" w:rsidRDefault="00F31674" w:rsidP="00FC095A">
      <w:pPr>
        <w:pStyle w:val="FootnoteText"/>
        <w:rPr>
          <w:lang w:val="en-US"/>
        </w:rPr>
      </w:pPr>
      <w:r>
        <w:rPr>
          <w:rStyle w:val="FootnoteReference"/>
        </w:rPr>
        <w:footnoteRef/>
      </w:r>
      <w:r>
        <w:t xml:space="preserve"> </w:t>
      </w:r>
      <w:proofErr w:type="gramStart"/>
      <w:r>
        <w:t>Rogers, 204.</w:t>
      </w:r>
      <w:proofErr w:type="gramEnd"/>
    </w:p>
  </w:footnote>
  <w:footnote w:id="26">
    <w:p w:rsidR="00F31674" w:rsidRPr="0092282A" w:rsidRDefault="00F31674" w:rsidP="00FC095A">
      <w:pPr>
        <w:pStyle w:val="FootnoteText"/>
        <w:rPr>
          <w:lang w:val="en-US"/>
        </w:rPr>
      </w:pPr>
      <w:r>
        <w:rPr>
          <w:rStyle w:val="FootnoteReference"/>
        </w:rPr>
        <w:footnoteRef/>
      </w:r>
      <w:r>
        <w:t xml:space="preserve"> </w:t>
      </w:r>
      <w:proofErr w:type="gramStart"/>
      <w:r w:rsidRPr="00C64379">
        <w:rPr>
          <w:lang w:val="en-US"/>
        </w:rPr>
        <w:t xml:space="preserve">Parker Palmer, </w:t>
      </w:r>
      <w:r w:rsidRPr="00C64379">
        <w:rPr>
          <w:i/>
          <w:lang w:val="en-US"/>
        </w:rPr>
        <w:t>To Know as we are Known</w:t>
      </w:r>
      <w:r w:rsidRPr="00C64379">
        <w:rPr>
          <w:lang w:val="en-US"/>
        </w:rPr>
        <w:t xml:space="preserve"> (New York: Harper Collins, 1993),</w:t>
      </w:r>
      <w:r>
        <w:rPr>
          <w:lang w:val="en-US"/>
        </w:rPr>
        <w:t xml:space="preserve"> 34.</w:t>
      </w:r>
      <w:proofErr w:type="gramEnd"/>
    </w:p>
  </w:footnote>
  <w:footnote w:id="27">
    <w:p w:rsidR="00F31674" w:rsidRPr="00C64379" w:rsidRDefault="00F31674" w:rsidP="00C64379">
      <w:pPr>
        <w:pStyle w:val="FootnoteText"/>
        <w:rPr>
          <w:lang w:val="en-US"/>
        </w:rPr>
      </w:pPr>
      <w:r>
        <w:rPr>
          <w:rStyle w:val="FootnoteReference"/>
        </w:rPr>
        <w:footnoteRef/>
      </w:r>
      <w:r>
        <w:t xml:space="preserve"> </w:t>
      </w:r>
      <w:r>
        <w:rPr>
          <w:lang w:val="en-US"/>
        </w:rPr>
        <w:t>Luke 24:19, author’s translation</w:t>
      </w:r>
    </w:p>
  </w:footnote>
  <w:footnote w:id="28">
    <w:p w:rsidR="00F31674" w:rsidRPr="00013FF8" w:rsidRDefault="00F31674">
      <w:pPr>
        <w:pStyle w:val="FootnoteText"/>
        <w:rPr>
          <w:lang w:val="en-US"/>
        </w:rPr>
      </w:pPr>
      <w:r>
        <w:rPr>
          <w:rStyle w:val="FootnoteReference"/>
        </w:rPr>
        <w:footnoteRef/>
      </w:r>
      <w:r w:rsidR="003E11B5">
        <w:rPr>
          <w:lang w:val="en-US"/>
        </w:rPr>
        <w:t xml:space="preserve"> </w:t>
      </w:r>
      <w:proofErr w:type="gramStart"/>
      <w:r>
        <w:rPr>
          <w:lang w:val="en-US"/>
        </w:rPr>
        <w:t>Pilli</w:t>
      </w:r>
      <w:r w:rsidRPr="00013FF8">
        <w:rPr>
          <w:lang w:val="en-US"/>
        </w:rPr>
        <w:t xml:space="preserve">, </w:t>
      </w:r>
      <w:r>
        <w:rPr>
          <w:lang w:val="en-US"/>
        </w:rPr>
        <w:t>178</w:t>
      </w:r>
      <w:r w:rsidRPr="00013FF8">
        <w:rPr>
          <w:lang w:val="en-US"/>
        </w:rPr>
        <w:t>.</w:t>
      </w:r>
      <w:proofErr w:type="gramEnd"/>
    </w:p>
  </w:footnote>
  <w:footnote w:id="29">
    <w:p w:rsidR="00F31674" w:rsidRPr="00B77A78" w:rsidRDefault="00F31674">
      <w:pPr>
        <w:pStyle w:val="FootnoteText"/>
        <w:rPr>
          <w:lang w:val="en-US"/>
        </w:rPr>
      </w:pPr>
      <w:r>
        <w:rPr>
          <w:rStyle w:val="FootnoteReference"/>
        </w:rPr>
        <w:footnoteRef/>
      </w:r>
      <w:r>
        <w:t xml:space="preserve"> </w:t>
      </w:r>
      <w:proofErr w:type="gramStart"/>
      <w:r>
        <w:rPr>
          <w:lang w:val="en-US"/>
        </w:rPr>
        <w:t>Rogers, 137.</w:t>
      </w:r>
      <w:proofErr w:type="gramEnd"/>
    </w:p>
  </w:footnote>
  <w:footnote w:id="30">
    <w:p w:rsidR="00F31674" w:rsidRPr="00CE3CB7" w:rsidRDefault="00F31674">
      <w:pPr>
        <w:pStyle w:val="FootnoteText"/>
        <w:rPr>
          <w:lang w:val="en-US"/>
        </w:rPr>
      </w:pPr>
      <w:r>
        <w:rPr>
          <w:rStyle w:val="FootnoteReference"/>
        </w:rPr>
        <w:footnoteRef/>
      </w:r>
      <w:r>
        <w:t xml:space="preserve"> Susan M. </w:t>
      </w:r>
      <w:proofErr w:type="spellStart"/>
      <w:r>
        <w:t>Simonantis</w:t>
      </w:r>
      <w:proofErr w:type="spellEnd"/>
      <w:r>
        <w:t xml:space="preserve">, “Teaching as Conversation”, </w:t>
      </w:r>
      <w:r>
        <w:rPr>
          <w:lang w:val="en-US"/>
        </w:rPr>
        <w:t xml:space="preserve">in </w:t>
      </w:r>
      <w:proofErr w:type="gramStart"/>
      <w:r>
        <w:rPr>
          <w:i/>
          <w:lang w:val="en-US"/>
        </w:rPr>
        <w:t>The</w:t>
      </w:r>
      <w:proofErr w:type="gramEnd"/>
      <w:r>
        <w:rPr>
          <w:i/>
          <w:lang w:val="en-US"/>
        </w:rPr>
        <w:t xml:space="preserve"> Scope of Our Art: The Vocation of the Theological Tutor</w:t>
      </w:r>
      <w:r>
        <w:rPr>
          <w:lang w:val="en-US"/>
        </w:rPr>
        <w:t xml:space="preserve">, ed. L. Gregory Jones and Stephanie </w:t>
      </w:r>
      <w:proofErr w:type="spellStart"/>
      <w:r>
        <w:rPr>
          <w:lang w:val="en-US"/>
        </w:rPr>
        <w:t>Paulsell</w:t>
      </w:r>
      <w:proofErr w:type="spellEnd"/>
      <w:r>
        <w:rPr>
          <w:lang w:val="en-US"/>
        </w:rPr>
        <w:t xml:space="preserve"> (Grand Rapids: Eerdmans, 2002), 114.  </w:t>
      </w:r>
      <w:proofErr w:type="gramStart"/>
      <w:r>
        <w:rPr>
          <w:lang w:val="en-US"/>
        </w:rPr>
        <w:t>Emphasis in original.</w:t>
      </w:r>
      <w:proofErr w:type="gramEnd"/>
    </w:p>
  </w:footnote>
  <w:footnote w:id="31">
    <w:p w:rsidR="00F31674" w:rsidRPr="00D2382D" w:rsidRDefault="00F31674">
      <w:pPr>
        <w:pStyle w:val="FootnoteText"/>
        <w:rPr>
          <w:lang w:val="en-US"/>
        </w:rPr>
      </w:pPr>
      <w:r>
        <w:rPr>
          <w:rStyle w:val="FootnoteReference"/>
        </w:rPr>
        <w:footnoteRef/>
      </w:r>
      <w:r>
        <w:t xml:space="preserve"> </w:t>
      </w:r>
      <w:proofErr w:type="gramStart"/>
      <w:r>
        <w:rPr>
          <w:lang w:val="en-US"/>
        </w:rPr>
        <w:t>Palmer, 73.</w:t>
      </w:r>
      <w:proofErr w:type="gramEnd"/>
    </w:p>
  </w:footnote>
  <w:footnote w:id="32">
    <w:p w:rsidR="00F31674" w:rsidRPr="00051E9D" w:rsidRDefault="00F31674">
      <w:pPr>
        <w:pStyle w:val="FootnoteText"/>
        <w:rPr>
          <w:lang w:val="en-US"/>
        </w:rPr>
      </w:pPr>
      <w:r>
        <w:rPr>
          <w:rStyle w:val="FootnoteReference"/>
        </w:rPr>
        <w:footnoteRef/>
      </w:r>
      <w:r>
        <w:t xml:space="preserve"> See Heron, 22.</w:t>
      </w:r>
    </w:p>
  </w:footnote>
  <w:footnote w:id="33">
    <w:p w:rsidR="00F31674" w:rsidRPr="00D41EDA" w:rsidRDefault="00F31674">
      <w:pPr>
        <w:pStyle w:val="FootnoteText"/>
        <w:rPr>
          <w:lang w:val="en-US"/>
        </w:rPr>
      </w:pPr>
      <w:r>
        <w:rPr>
          <w:rStyle w:val="FootnoteReference"/>
        </w:rPr>
        <w:footnoteRef/>
      </w:r>
      <w:r>
        <w:t xml:space="preserve"> </w:t>
      </w:r>
      <w:proofErr w:type="gramStart"/>
      <w:r>
        <w:rPr>
          <w:lang w:val="en-US"/>
        </w:rPr>
        <w:t>Cheesman, 2.</w:t>
      </w:r>
      <w:proofErr w:type="gramEnd"/>
    </w:p>
  </w:footnote>
  <w:footnote w:id="34">
    <w:p w:rsidR="00F31674" w:rsidRPr="00D41EDA" w:rsidRDefault="00F31674">
      <w:pPr>
        <w:pStyle w:val="FootnoteText"/>
        <w:rPr>
          <w:lang w:val="en-US"/>
        </w:rPr>
      </w:pPr>
      <w:r>
        <w:rPr>
          <w:rStyle w:val="FootnoteReference"/>
        </w:rPr>
        <w:footnoteRef/>
      </w:r>
      <w:r>
        <w:t xml:space="preserve"> </w:t>
      </w:r>
      <w:proofErr w:type="gramStart"/>
      <w:r>
        <w:rPr>
          <w:lang w:val="en-US"/>
        </w:rPr>
        <w:t>Cheesman, 3; Heron, 22.</w:t>
      </w:r>
      <w:proofErr w:type="gramEnd"/>
    </w:p>
  </w:footnote>
  <w:footnote w:id="35">
    <w:p w:rsidR="00F31674" w:rsidRPr="00E650BD" w:rsidRDefault="00F31674">
      <w:pPr>
        <w:pStyle w:val="FootnoteText"/>
        <w:rPr>
          <w:lang w:val="en-US"/>
        </w:rPr>
      </w:pPr>
      <w:r>
        <w:rPr>
          <w:rStyle w:val="FootnoteReference"/>
        </w:rPr>
        <w:footnoteRef/>
      </w:r>
      <w:r>
        <w:t xml:space="preserve"> </w:t>
      </w:r>
      <w:proofErr w:type="gramStart"/>
      <w:r>
        <w:rPr>
          <w:lang w:val="en-US"/>
        </w:rPr>
        <w:t>Hill, 223.</w:t>
      </w:r>
      <w:proofErr w:type="gramEnd"/>
    </w:p>
  </w:footnote>
  <w:footnote w:id="36">
    <w:p w:rsidR="00F31674" w:rsidRPr="0090461D" w:rsidRDefault="00F31674">
      <w:pPr>
        <w:pStyle w:val="FootnoteText"/>
        <w:rPr>
          <w:lang w:val="en-US"/>
        </w:rPr>
      </w:pPr>
      <w:r>
        <w:rPr>
          <w:rStyle w:val="FootnoteReference"/>
        </w:rPr>
        <w:footnoteRef/>
      </w:r>
      <w:r>
        <w:t xml:space="preserve"> </w:t>
      </w:r>
      <w:proofErr w:type="gramStart"/>
      <w:r>
        <w:rPr>
          <w:lang w:val="en-US"/>
        </w:rPr>
        <w:t>Hill, 224.</w:t>
      </w:r>
      <w:proofErr w:type="gramEnd"/>
    </w:p>
  </w:footnote>
  <w:footnote w:id="37">
    <w:p w:rsidR="00F31674" w:rsidRPr="00F66B4D" w:rsidRDefault="00F31674">
      <w:pPr>
        <w:pStyle w:val="FootnoteText"/>
        <w:rPr>
          <w:lang w:val="en-US"/>
        </w:rPr>
      </w:pPr>
      <w:r>
        <w:rPr>
          <w:rStyle w:val="FootnoteReference"/>
        </w:rPr>
        <w:footnoteRef/>
      </w:r>
      <w:r>
        <w:t xml:space="preserve"> </w:t>
      </w:r>
      <w:r>
        <w:rPr>
          <w:lang w:val="en-US"/>
        </w:rPr>
        <w:t xml:space="preserve">Charles R. Foster, et al. “Pedagogies of </w:t>
      </w:r>
      <w:r w:rsidR="003E11B5">
        <w:rPr>
          <w:lang w:val="en-US"/>
        </w:rPr>
        <w:t>Interpretation</w:t>
      </w:r>
      <w:r>
        <w:rPr>
          <w:lang w:val="en-US"/>
        </w:rPr>
        <w:t xml:space="preserve"> in Education Clergy”, </w:t>
      </w:r>
      <w:r>
        <w:rPr>
          <w:i/>
          <w:lang w:val="en-US"/>
        </w:rPr>
        <w:t>Teaching Theology and Religion</w:t>
      </w:r>
      <w:r>
        <w:rPr>
          <w:lang w:val="en-US"/>
        </w:rPr>
        <w:t xml:space="preserve"> 8, no. 4 (2005): 209.</w:t>
      </w:r>
    </w:p>
  </w:footnote>
  <w:footnote w:id="38">
    <w:p w:rsidR="00F31674" w:rsidRPr="00A9735A" w:rsidRDefault="00F31674">
      <w:pPr>
        <w:pStyle w:val="FootnoteText"/>
        <w:rPr>
          <w:lang w:val="en-US"/>
        </w:rPr>
      </w:pPr>
      <w:r>
        <w:rPr>
          <w:rStyle w:val="FootnoteReference"/>
        </w:rPr>
        <w:footnoteRef/>
      </w:r>
      <w:r>
        <w:t xml:space="preserve"> </w:t>
      </w:r>
      <w:proofErr w:type="spellStart"/>
      <w:r>
        <w:rPr>
          <w:lang w:val="en-US"/>
        </w:rPr>
        <w:t>Qtd</w:t>
      </w:r>
      <w:proofErr w:type="spellEnd"/>
      <w:r>
        <w:rPr>
          <w:lang w:val="en-US"/>
        </w:rPr>
        <w:t xml:space="preserve"> in Foster et al., 209-210.</w:t>
      </w:r>
    </w:p>
  </w:footnote>
  <w:footnote w:id="39">
    <w:p w:rsidR="00F31674" w:rsidRPr="001F7522" w:rsidRDefault="00F31674">
      <w:pPr>
        <w:pStyle w:val="FootnoteText"/>
        <w:rPr>
          <w:lang w:val="en-US"/>
        </w:rPr>
      </w:pPr>
      <w:r>
        <w:rPr>
          <w:rStyle w:val="FootnoteReference"/>
        </w:rPr>
        <w:footnoteRef/>
      </w:r>
      <w:r>
        <w:t xml:space="preserve"> </w:t>
      </w:r>
      <w:r>
        <w:rPr>
          <w:lang w:val="en-US"/>
        </w:rPr>
        <w:t xml:space="preserve">Thomas W. </w:t>
      </w:r>
      <w:proofErr w:type="spellStart"/>
      <w:r>
        <w:rPr>
          <w:lang w:val="en-US"/>
        </w:rPr>
        <w:t>Ogletree</w:t>
      </w:r>
      <w:proofErr w:type="spellEnd"/>
      <w:r>
        <w:rPr>
          <w:lang w:val="en-US"/>
        </w:rPr>
        <w:t xml:space="preserve">, </w:t>
      </w:r>
      <w:r>
        <w:rPr>
          <w:i/>
          <w:lang w:val="en-US"/>
        </w:rPr>
        <w:t>Hospitality to the Stranger: Dimensions of Moral Understanding</w:t>
      </w:r>
      <w:r>
        <w:rPr>
          <w:lang w:val="en-US"/>
        </w:rPr>
        <w:t xml:space="preserve"> (Louisville: Westminster John Knox, 2003), 3-4.</w:t>
      </w:r>
    </w:p>
  </w:footnote>
  <w:footnote w:id="40">
    <w:p w:rsidR="00F31674" w:rsidRPr="008C3612" w:rsidRDefault="00F31674">
      <w:pPr>
        <w:pStyle w:val="FootnoteText"/>
        <w:rPr>
          <w:lang w:val="en-US"/>
        </w:rPr>
      </w:pPr>
      <w:r>
        <w:rPr>
          <w:rStyle w:val="FootnoteReference"/>
        </w:rPr>
        <w:footnoteRef/>
      </w:r>
      <w:r>
        <w:t xml:space="preserve"> </w:t>
      </w:r>
      <w:r>
        <w:rPr>
          <w:lang w:val="en-US"/>
        </w:rPr>
        <w:t>See Eric Bain-</w:t>
      </w:r>
      <w:proofErr w:type="spellStart"/>
      <w:r>
        <w:rPr>
          <w:lang w:val="en-US"/>
        </w:rPr>
        <w:t>Selbo</w:t>
      </w:r>
      <w:proofErr w:type="spellEnd"/>
      <w:r>
        <w:rPr>
          <w:lang w:val="en-US"/>
        </w:rPr>
        <w:t xml:space="preserve">, “From Pride to Cowardice: Obstacles to the Dialogical Classroom”, </w:t>
      </w:r>
      <w:r>
        <w:rPr>
          <w:i/>
          <w:lang w:val="en-US"/>
        </w:rPr>
        <w:t xml:space="preserve">Teaching Theology and Religion </w:t>
      </w:r>
      <w:r>
        <w:rPr>
          <w:lang w:val="en-US"/>
        </w:rPr>
        <w:t>6, no.1 (2003): 3-8.</w:t>
      </w:r>
    </w:p>
  </w:footnote>
  <w:footnote w:id="41">
    <w:p w:rsidR="00F31674" w:rsidRPr="00937EC3" w:rsidRDefault="00F31674">
      <w:pPr>
        <w:pStyle w:val="FootnoteText"/>
        <w:rPr>
          <w:lang w:val="en-US"/>
        </w:rPr>
      </w:pPr>
      <w:r>
        <w:rPr>
          <w:rStyle w:val="FootnoteReference"/>
        </w:rPr>
        <w:footnoteRef/>
      </w:r>
      <w:r>
        <w:t xml:space="preserve"> </w:t>
      </w:r>
      <w:proofErr w:type="spellStart"/>
      <w:proofErr w:type="gramStart"/>
      <w:r>
        <w:rPr>
          <w:lang w:val="en-US"/>
        </w:rPr>
        <w:t>Ogletree</w:t>
      </w:r>
      <w:proofErr w:type="spellEnd"/>
      <w:r>
        <w:rPr>
          <w:lang w:val="en-US"/>
        </w:rPr>
        <w:t>, 2.</w:t>
      </w:r>
      <w:proofErr w:type="gramEnd"/>
    </w:p>
  </w:footnote>
  <w:footnote w:id="42">
    <w:p w:rsidR="00F31674" w:rsidRPr="00937EC3" w:rsidRDefault="00F31674">
      <w:pPr>
        <w:pStyle w:val="FootnoteText"/>
        <w:rPr>
          <w:lang w:val="en-US"/>
        </w:rPr>
      </w:pPr>
      <w:r>
        <w:rPr>
          <w:rStyle w:val="FootnoteReference"/>
        </w:rPr>
        <w:footnoteRef/>
      </w:r>
      <w:r>
        <w:t xml:space="preserve"> </w:t>
      </w:r>
      <w:r>
        <w:rPr>
          <w:lang w:val="en-US"/>
        </w:rPr>
        <w:t>Ibid.</w:t>
      </w:r>
    </w:p>
  </w:footnote>
  <w:footnote w:id="43">
    <w:p w:rsidR="00F31674" w:rsidRDefault="00F31674" w:rsidP="00937EC3">
      <w:pPr>
        <w:pStyle w:val="FootnoteText"/>
      </w:pPr>
      <w:r>
        <w:rPr>
          <w:rStyle w:val="FootnoteReference"/>
        </w:rPr>
        <w:footnoteRef/>
      </w:r>
      <w:r>
        <w:rPr>
          <w:lang w:val="en-US"/>
        </w:rPr>
        <w:t xml:space="preserve"> </w:t>
      </w:r>
      <w:r w:rsidRPr="00937EC3">
        <w:rPr>
          <w:lang w:val="en-US"/>
        </w:rPr>
        <w:t xml:space="preserve">Henri J. M. </w:t>
      </w:r>
      <w:proofErr w:type="spellStart"/>
      <w:r w:rsidRPr="00937EC3">
        <w:rPr>
          <w:lang w:val="en-US"/>
        </w:rPr>
        <w:t>Nouwen</w:t>
      </w:r>
      <w:proofErr w:type="spellEnd"/>
      <w:r w:rsidRPr="00937EC3">
        <w:rPr>
          <w:lang w:val="en-US"/>
        </w:rPr>
        <w:t xml:space="preserve">, </w:t>
      </w:r>
      <w:r w:rsidRPr="00937EC3">
        <w:rPr>
          <w:i/>
          <w:lang w:val="en-US"/>
        </w:rPr>
        <w:t xml:space="preserve">Reaching Out: The Three Movements of the Spiritual Life </w:t>
      </w:r>
      <w:r w:rsidRPr="00937EC3">
        <w:rPr>
          <w:lang w:val="en-US"/>
        </w:rPr>
        <w:t>(Glasgow: William Collins Sons &amp; Co Ltd, 1976)</w:t>
      </w:r>
      <w:r>
        <w:rPr>
          <w:lang w:val="en-US"/>
        </w:rPr>
        <w:t>, 80-81.</w:t>
      </w:r>
    </w:p>
  </w:footnote>
  <w:footnote w:id="44">
    <w:p w:rsidR="00F31674" w:rsidRPr="00B650AB" w:rsidRDefault="00F31674">
      <w:pPr>
        <w:pStyle w:val="FootnoteText"/>
        <w:rPr>
          <w:lang w:val="en-US"/>
        </w:rPr>
      </w:pPr>
      <w:r>
        <w:rPr>
          <w:rStyle w:val="FootnoteReference"/>
        </w:rPr>
        <w:footnoteRef/>
      </w:r>
      <w:r>
        <w:t xml:space="preserve"> </w:t>
      </w:r>
      <w:r>
        <w:rPr>
          <w:lang w:val="en-US"/>
        </w:rPr>
        <w:t>Palmer, 103-104</w:t>
      </w:r>
    </w:p>
  </w:footnote>
  <w:footnote w:id="45">
    <w:p w:rsidR="00F31674" w:rsidRPr="0080693C" w:rsidRDefault="00F31674">
      <w:pPr>
        <w:pStyle w:val="FootnoteText"/>
        <w:rPr>
          <w:lang w:val="en-US"/>
        </w:rPr>
      </w:pPr>
      <w:r>
        <w:rPr>
          <w:rStyle w:val="FootnoteReference"/>
        </w:rPr>
        <w:footnoteRef/>
      </w:r>
      <w:r>
        <w:t xml:space="preserve"> </w:t>
      </w:r>
      <w:proofErr w:type="spellStart"/>
      <w:proofErr w:type="gramStart"/>
      <w:r>
        <w:rPr>
          <w:lang w:val="en-US"/>
        </w:rPr>
        <w:t>Nouwen</w:t>
      </w:r>
      <w:proofErr w:type="spellEnd"/>
      <w:r>
        <w:rPr>
          <w:lang w:val="en-US"/>
        </w:rPr>
        <w:t xml:space="preserve">, 78ff; </w:t>
      </w:r>
      <w:proofErr w:type="spellStart"/>
      <w:r>
        <w:rPr>
          <w:lang w:val="en-US"/>
        </w:rPr>
        <w:t>Wimberly</w:t>
      </w:r>
      <w:proofErr w:type="spellEnd"/>
      <w:r>
        <w:rPr>
          <w:lang w:val="en-US"/>
        </w:rPr>
        <w:t>, 7.</w:t>
      </w:r>
      <w:proofErr w:type="gramEnd"/>
    </w:p>
  </w:footnote>
  <w:footnote w:id="46">
    <w:p w:rsidR="00F31674" w:rsidRPr="00050D8A" w:rsidRDefault="00F31674">
      <w:pPr>
        <w:pStyle w:val="FootnoteText"/>
        <w:rPr>
          <w:lang w:val="en-US"/>
        </w:rPr>
      </w:pPr>
      <w:r>
        <w:rPr>
          <w:rStyle w:val="FootnoteReference"/>
        </w:rPr>
        <w:footnoteRef/>
      </w:r>
      <w:r>
        <w:t xml:space="preserve"> </w:t>
      </w:r>
      <w:proofErr w:type="spellStart"/>
      <w:proofErr w:type="gramStart"/>
      <w:r>
        <w:rPr>
          <w:lang w:val="en-US"/>
        </w:rPr>
        <w:t>Nouwen</w:t>
      </w:r>
      <w:proofErr w:type="spellEnd"/>
      <w:r>
        <w:rPr>
          <w:lang w:val="en-US"/>
        </w:rPr>
        <w:t>, 80.</w:t>
      </w:r>
      <w:proofErr w:type="gramEnd"/>
    </w:p>
  </w:footnote>
  <w:footnote w:id="47">
    <w:p w:rsidR="00F31674" w:rsidRPr="00F31674" w:rsidRDefault="00F31674">
      <w:pPr>
        <w:pStyle w:val="FootnoteText"/>
        <w:rPr>
          <w:lang w:val="en-US"/>
        </w:rPr>
      </w:pPr>
      <w:r>
        <w:rPr>
          <w:rStyle w:val="FootnoteReference"/>
        </w:rPr>
        <w:footnoteRef/>
      </w:r>
      <w:r>
        <w:t xml:space="preserve"> </w:t>
      </w:r>
      <w:proofErr w:type="gramStart"/>
      <w:r>
        <w:rPr>
          <w:lang w:val="en-US"/>
        </w:rPr>
        <w:t>Rogers, 200.</w:t>
      </w:r>
      <w:proofErr w:type="gramEnd"/>
    </w:p>
  </w:footnote>
  <w:footnote w:id="48">
    <w:p w:rsidR="00F31674" w:rsidRPr="002844A2" w:rsidRDefault="00F31674">
      <w:pPr>
        <w:pStyle w:val="FootnoteText"/>
        <w:rPr>
          <w:lang w:val="en-US"/>
        </w:rPr>
      </w:pPr>
      <w:r>
        <w:rPr>
          <w:rStyle w:val="FootnoteReference"/>
        </w:rPr>
        <w:footnoteRef/>
      </w:r>
      <w:r>
        <w:t xml:space="preserve"> </w:t>
      </w:r>
      <w:proofErr w:type="gramStart"/>
      <w:r>
        <w:rPr>
          <w:lang w:val="en-US"/>
        </w:rPr>
        <w:t>Pilli, 179.</w:t>
      </w:r>
      <w:proofErr w:type="gramEnd"/>
    </w:p>
  </w:footnote>
  <w:footnote w:id="49">
    <w:p w:rsidR="00F31674" w:rsidRPr="005A244B" w:rsidRDefault="00F31674">
      <w:pPr>
        <w:pStyle w:val="FootnoteText"/>
        <w:rPr>
          <w:lang w:val="en-US"/>
        </w:rPr>
      </w:pPr>
      <w:r>
        <w:rPr>
          <w:rStyle w:val="FootnoteReference"/>
        </w:rPr>
        <w:footnoteRef/>
      </w:r>
      <w:r>
        <w:t xml:space="preserve"> </w:t>
      </w:r>
      <w:proofErr w:type="gramStart"/>
      <w:r>
        <w:rPr>
          <w:lang w:val="en-US"/>
        </w:rPr>
        <w:t>Ibid, 174.</w:t>
      </w:r>
      <w:proofErr w:type="gramEnd"/>
    </w:p>
  </w:footnote>
  <w:footnote w:id="50">
    <w:p w:rsidR="00F31674" w:rsidRPr="00B650AB" w:rsidRDefault="00F31674">
      <w:pPr>
        <w:pStyle w:val="FootnoteText"/>
        <w:rPr>
          <w:lang w:val="en-US"/>
        </w:rPr>
      </w:pPr>
      <w:r>
        <w:rPr>
          <w:rStyle w:val="FootnoteReference"/>
        </w:rPr>
        <w:footnoteRef/>
      </w:r>
      <w:r>
        <w:t xml:space="preserve"> </w:t>
      </w:r>
      <w:proofErr w:type="gramStart"/>
      <w:r>
        <w:rPr>
          <w:lang w:val="en-US"/>
        </w:rPr>
        <w:t>Palmer, 8.</w:t>
      </w:r>
      <w:proofErr w:type="gramEnd"/>
    </w:p>
  </w:footnote>
  <w:footnote w:id="51">
    <w:p w:rsidR="00F31674" w:rsidRPr="009538EC" w:rsidRDefault="00F31674">
      <w:pPr>
        <w:pStyle w:val="FootnoteText"/>
        <w:rPr>
          <w:lang w:val="en-US"/>
        </w:rPr>
      </w:pPr>
      <w:r>
        <w:rPr>
          <w:rStyle w:val="FootnoteReference"/>
        </w:rPr>
        <w:footnoteRef/>
      </w:r>
      <w:r>
        <w:t xml:space="preserve"> </w:t>
      </w:r>
      <w:proofErr w:type="gramStart"/>
      <w:r>
        <w:rPr>
          <w:lang w:val="en-US"/>
        </w:rPr>
        <w:t>Cheesman, 1.</w:t>
      </w:r>
      <w:proofErr w:type="gramEnd"/>
    </w:p>
  </w:footnote>
  <w:footnote w:id="52">
    <w:p w:rsidR="00F31674" w:rsidRPr="00DE644B" w:rsidRDefault="00F31674">
      <w:pPr>
        <w:pStyle w:val="FootnoteText"/>
        <w:rPr>
          <w:lang w:val="en-US"/>
        </w:rPr>
      </w:pPr>
      <w:r>
        <w:rPr>
          <w:rStyle w:val="FootnoteReference"/>
        </w:rPr>
        <w:footnoteRef/>
      </w:r>
      <w:r>
        <w:t xml:space="preserve"> </w:t>
      </w:r>
      <w:r>
        <w:rPr>
          <w:lang w:val="en-US"/>
        </w:rPr>
        <w:t>Luke 24:25-27</w:t>
      </w:r>
    </w:p>
  </w:footnote>
  <w:footnote w:id="53">
    <w:p w:rsidR="00F31674" w:rsidRPr="00DE644B" w:rsidRDefault="00F31674">
      <w:pPr>
        <w:pStyle w:val="FootnoteText"/>
        <w:rPr>
          <w:lang w:val="en-US"/>
        </w:rPr>
      </w:pPr>
      <w:r>
        <w:rPr>
          <w:rStyle w:val="FootnoteReference"/>
        </w:rPr>
        <w:footnoteRef/>
      </w:r>
      <w:r>
        <w:t xml:space="preserve"> </w:t>
      </w:r>
      <w:r>
        <w:rPr>
          <w:lang w:val="en-US"/>
        </w:rPr>
        <w:t>Luke 24:31a, author’s translation</w:t>
      </w:r>
    </w:p>
  </w:footnote>
  <w:footnote w:id="54">
    <w:p w:rsidR="00F31674" w:rsidRPr="007F6F51" w:rsidRDefault="00F31674">
      <w:pPr>
        <w:pStyle w:val="FootnoteText"/>
        <w:rPr>
          <w:lang w:val="en-US"/>
        </w:rPr>
      </w:pPr>
      <w:r>
        <w:rPr>
          <w:rStyle w:val="FootnoteReference"/>
        </w:rPr>
        <w:footnoteRef/>
      </w:r>
      <w:r>
        <w:t xml:space="preserve"> </w:t>
      </w:r>
      <w:r>
        <w:rPr>
          <w:lang w:val="en-US"/>
        </w:rPr>
        <w:t xml:space="preserve">Vladimir </w:t>
      </w:r>
      <w:proofErr w:type="spellStart"/>
      <w:r>
        <w:rPr>
          <w:lang w:val="en-US"/>
        </w:rPr>
        <w:t>Feodorov</w:t>
      </w:r>
      <w:proofErr w:type="spellEnd"/>
      <w:r>
        <w:rPr>
          <w:lang w:val="en-US"/>
        </w:rPr>
        <w:t>, “Orthodox View on Education as Mission”, in</w:t>
      </w:r>
      <w:r w:rsidRPr="007F6F51">
        <w:rPr>
          <w:lang w:val="en-US"/>
        </w:rPr>
        <w:t xml:space="preserve"> </w:t>
      </w:r>
      <w:r w:rsidRPr="00013FF8">
        <w:rPr>
          <w:i/>
          <w:lang w:val="en-US"/>
        </w:rPr>
        <w:t>Theological Education as Mission</w:t>
      </w:r>
      <w:r w:rsidRPr="00013FF8">
        <w:rPr>
          <w:lang w:val="en-US"/>
        </w:rPr>
        <w:t xml:space="preserve">, ed. Peter F. </w:t>
      </w:r>
      <w:proofErr w:type="spellStart"/>
      <w:r w:rsidRPr="00013FF8">
        <w:rPr>
          <w:lang w:val="en-US"/>
        </w:rPr>
        <w:t>Penner</w:t>
      </w:r>
      <w:proofErr w:type="spellEnd"/>
      <w:r w:rsidRPr="00013FF8">
        <w:rPr>
          <w:lang w:val="en-US"/>
        </w:rPr>
        <w:t xml:space="preserve"> (</w:t>
      </w:r>
      <w:proofErr w:type="spellStart"/>
      <w:r w:rsidRPr="00013FF8">
        <w:rPr>
          <w:lang w:val="en-US"/>
        </w:rPr>
        <w:t>Scharzenfeld</w:t>
      </w:r>
      <w:proofErr w:type="spellEnd"/>
      <w:r w:rsidRPr="00013FF8">
        <w:rPr>
          <w:lang w:val="en-US"/>
        </w:rPr>
        <w:t xml:space="preserve">, Germany: Neufeld </w:t>
      </w:r>
      <w:proofErr w:type="spellStart"/>
      <w:r w:rsidRPr="00013FF8">
        <w:rPr>
          <w:lang w:val="en-US"/>
        </w:rPr>
        <w:t>Verlag</w:t>
      </w:r>
      <w:proofErr w:type="spellEnd"/>
      <w:r w:rsidRPr="00013FF8">
        <w:rPr>
          <w:lang w:val="en-US"/>
        </w:rPr>
        <w:t xml:space="preserve">, 2005), </w:t>
      </w:r>
      <w:r>
        <w:rPr>
          <w:lang w:val="en-US"/>
        </w:rPr>
        <w:t>90</w:t>
      </w:r>
      <w:r w:rsidRPr="00013FF8">
        <w:rPr>
          <w:lang w:val="en-US"/>
        </w:rPr>
        <w:t>.</w:t>
      </w:r>
    </w:p>
  </w:footnote>
  <w:footnote w:id="55">
    <w:p w:rsidR="00F31674" w:rsidRPr="009146FE" w:rsidRDefault="00F31674" w:rsidP="009F3618">
      <w:pPr>
        <w:pStyle w:val="FootnoteText"/>
        <w:rPr>
          <w:lang w:val="en-US"/>
        </w:rPr>
      </w:pPr>
      <w:r>
        <w:rPr>
          <w:rStyle w:val="FootnoteReference"/>
        </w:rPr>
        <w:footnoteRef/>
      </w:r>
      <w:r>
        <w:t xml:space="preserve"> </w:t>
      </w:r>
      <w:r>
        <w:rPr>
          <w:lang w:val="en-US"/>
        </w:rPr>
        <w:t xml:space="preserve">J. R. R. Tolkien, </w:t>
      </w:r>
      <w:r>
        <w:rPr>
          <w:i/>
          <w:lang w:val="en-US"/>
        </w:rPr>
        <w:t>The Tolkien Reader</w:t>
      </w:r>
      <w:r>
        <w:rPr>
          <w:lang w:val="en-US"/>
        </w:rPr>
        <w:t xml:space="preserve"> (New York: Ballantine, 1966), 86.</w:t>
      </w:r>
    </w:p>
  </w:footnote>
  <w:footnote w:id="56">
    <w:p w:rsidR="00F31674" w:rsidRPr="003760E8" w:rsidRDefault="00F31674" w:rsidP="009F3618">
      <w:pPr>
        <w:pStyle w:val="FootnoteText"/>
        <w:rPr>
          <w:lang w:val="en-US"/>
        </w:rPr>
      </w:pPr>
      <w:r>
        <w:rPr>
          <w:rStyle w:val="FootnoteReference"/>
        </w:rPr>
        <w:footnoteRef/>
      </w:r>
      <w:r>
        <w:t xml:space="preserve"> </w:t>
      </w:r>
      <w:r>
        <w:rPr>
          <w:lang w:val="en-US"/>
        </w:rPr>
        <w:t>Ibid.</w:t>
      </w:r>
    </w:p>
  </w:footnote>
  <w:footnote w:id="57">
    <w:p w:rsidR="00F31674" w:rsidRPr="006F1757" w:rsidRDefault="00F31674" w:rsidP="009F3618">
      <w:pPr>
        <w:pStyle w:val="FootnoteText"/>
        <w:rPr>
          <w:lang w:val="en-US"/>
        </w:rPr>
      </w:pPr>
      <w:r>
        <w:rPr>
          <w:rStyle w:val="FootnoteReference"/>
        </w:rPr>
        <w:footnoteRef/>
      </w:r>
      <w:r>
        <w:t xml:space="preserve"> </w:t>
      </w:r>
      <w:r>
        <w:rPr>
          <w:lang w:val="en-US"/>
        </w:rPr>
        <w:t>Ibid, 88-89.</w:t>
      </w:r>
    </w:p>
  </w:footnote>
  <w:footnote w:id="58">
    <w:p w:rsidR="00F31674" w:rsidRPr="004350CA" w:rsidRDefault="00F31674">
      <w:pPr>
        <w:pStyle w:val="FootnoteText"/>
        <w:rPr>
          <w:lang w:val="en-US"/>
        </w:rPr>
      </w:pPr>
      <w:r>
        <w:rPr>
          <w:rStyle w:val="FootnoteReference"/>
        </w:rPr>
        <w:footnoteRef/>
      </w:r>
      <w:r>
        <w:t xml:space="preserve"> </w:t>
      </w:r>
      <w:proofErr w:type="spellStart"/>
      <w:proofErr w:type="gramStart"/>
      <w:r>
        <w:t>Guyette</w:t>
      </w:r>
      <w:proofErr w:type="spellEnd"/>
      <w:r>
        <w:t>, 161.</w:t>
      </w:r>
      <w:proofErr w:type="gramEnd"/>
    </w:p>
  </w:footnote>
  <w:footnote w:id="59">
    <w:p w:rsidR="00F31674" w:rsidRPr="004350CA" w:rsidRDefault="00F31674">
      <w:pPr>
        <w:pStyle w:val="FootnoteText"/>
        <w:rPr>
          <w:lang w:val="en-US"/>
        </w:rPr>
      </w:pPr>
      <w:r>
        <w:rPr>
          <w:rStyle w:val="FootnoteReference"/>
        </w:rPr>
        <w:footnoteRef/>
      </w:r>
      <w:r>
        <w:t xml:space="preserve"> </w:t>
      </w:r>
      <w:r>
        <w:rPr>
          <w:lang w:val="en-US"/>
        </w:rPr>
        <w:t>Ibid.</w:t>
      </w:r>
    </w:p>
  </w:footnote>
  <w:footnote w:id="60">
    <w:p w:rsidR="00F31674" w:rsidRPr="00285680" w:rsidRDefault="00F31674">
      <w:pPr>
        <w:pStyle w:val="FootnoteText"/>
        <w:rPr>
          <w:lang w:val="en-US"/>
        </w:rPr>
      </w:pPr>
      <w:r>
        <w:rPr>
          <w:rStyle w:val="FootnoteReference"/>
        </w:rPr>
        <w:footnoteRef/>
      </w:r>
      <w:r>
        <w:t xml:space="preserve"> </w:t>
      </w:r>
      <w:r>
        <w:rPr>
          <w:lang w:val="en-US"/>
        </w:rPr>
        <w:t>See Cheesman, 3.</w:t>
      </w:r>
    </w:p>
  </w:footnote>
  <w:footnote w:id="61">
    <w:p w:rsidR="00F31674" w:rsidRPr="006D3279" w:rsidRDefault="00F31674">
      <w:pPr>
        <w:pStyle w:val="FootnoteText"/>
        <w:rPr>
          <w:lang w:val="en-US"/>
        </w:rPr>
      </w:pPr>
      <w:r>
        <w:rPr>
          <w:rStyle w:val="FootnoteReference"/>
        </w:rPr>
        <w:footnoteRef/>
      </w:r>
      <w:r>
        <w:t xml:space="preserve"> </w:t>
      </w:r>
      <w:r>
        <w:rPr>
          <w:lang w:val="en-US"/>
        </w:rPr>
        <w:t>Rogers, 72-73.</w:t>
      </w:r>
    </w:p>
  </w:footnote>
  <w:footnote w:id="62">
    <w:p w:rsidR="00F31674" w:rsidRPr="006D3279" w:rsidRDefault="00F31674">
      <w:pPr>
        <w:pStyle w:val="FootnoteText"/>
        <w:rPr>
          <w:lang w:val="en-US"/>
        </w:rPr>
      </w:pPr>
      <w:r>
        <w:rPr>
          <w:rStyle w:val="FootnoteReference"/>
        </w:rPr>
        <w:footnoteRef/>
      </w:r>
      <w:r>
        <w:t xml:space="preserve"> </w:t>
      </w:r>
      <w:proofErr w:type="gramStart"/>
      <w:r>
        <w:rPr>
          <w:lang w:val="en-US"/>
        </w:rPr>
        <w:t>Pilli, 168.</w:t>
      </w:r>
      <w:proofErr w:type="gramEnd"/>
    </w:p>
  </w:footnote>
  <w:footnote w:id="63">
    <w:p w:rsidR="00F31674" w:rsidRPr="006B2B0D" w:rsidRDefault="00F31674" w:rsidP="00A4097B">
      <w:pPr>
        <w:pStyle w:val="FootnoteText"/>
        <w:rPr>
          <w:lang w:val="en-US"/>
        </w:rPr>
      </w:pPr>
      <w:r>
        <w:rPr>
          <w:rStyle w:val="FootnoteReference"/>
        </w:rPr>
        <w:footnoteRef/>
      </w:r>
      <w:r>
        <w:t xml:space="preserve"> </w:t>
      </w:r>
      <w:proofErr w:type="gramStart"/>
      <w:r>
        <w:t>Tolkien, 98.</w:t>
      </w:r>
      <w:proofErr w:type="gramEnd"/>
    </w:p>
  </w:footnote>
  <w:footnote w:id="64">
    <w:p w:rsidR="00F31674" w:rsidRPr="00515397" w:rsidRDefault="00F31674">
      <w:pPr>
        <w:pStyle w:val="FootnoteText"/>
        <w:rPr>
          <w:lang w:val="en-US"/>
        </w:rPr>
      </w:pPr>
      <w:r>
        <w:rPr>
          <w:rStyle w:val="FootnoteReference"/>
        </w:rPr>
        <w:footnoteRef/>
      </w:r>
      <w:r>
        <w:t xml:space="preserve"> Cheesman, 2</w:t>
      </w:r>
    </w:p>
  </w:footnote>
  <w:footnote w:id="65">
    <w:p w:rsidR="00F31674" w:rsidRPr="00D23D16" w:rsidRDefault="00F31674">
      <w:pPr>
        <w:pStyle w:val="FootnoteText"/>
        <w:rPr>
          <w:lang w:val="en-US"/>
        </w:rPr>
      </w:pPr>
      <w:r>
        <w:rPr>
          <w:rStyle w:val="FootnoteReference"/>
        </w:rPr>
        <w:footnoteRef/>
      </w:r>
      <w:r>
        <w:t xml:space="preserve"> </w:t>
      </w:r>
      <w:proofErr w:type="gramStart"/>
      <w:r>
        <w:t>Donovan, xiii.</w:t>
      </w:r>
      <w:proofErr w:type="gramEnd"/>
    </w:p>
  </w:footnote>
  <w:footnote w:id="66">
    <w:p w:rsidR="00F31674" w:rsidRPr="001356D2" w:rsidRDefault="00F31674" w:rsidP="00650739">
      <w:pPr>
        <w:pStyle w:val="FootnoteText"/>
        <w:rPr>
          <w:lang w:val="en-US"/>
        </w:rPr>
      </w:pPr>
      <w:r>
        <w:rPr>
          <w:rStyle w:val="FootnoteReference"/>
        </w:rPr>
        <w:footnoteRef/>
      </w:r>
      <w:r>
        <w:t xml:space="preserve"> Rogers, 81, 118</w:t>
      </w:r>
    </w:p>
  </w:footnote>
  <w:footnote w:id="67">
    <w:p w:rsidR="00F31674" w:rsidRPr="00FD618E" w:rsidRDefault="00F31674">
      <w:pPr>
        <w:pStyle w:val="FootnoteText"/>
      </w:pPr>
      <w:r>
        <w:rPr>
          <w:rStyle w:val="FootnoteReference"/>
        </w:rPr>
        <w:footnoteRef/>
      </w:r>
      <w:r>
        <w:t xml:space="preserve"> </w:t>
      </w:r>
      <w:proofErr w:type="spellStart"/>
      <w:r>
        <w:t>Wadell</w:t>
      </w:r>
      <w:proofErr w:type="spellEnd"/>
      <w:r>
        <w:t>, Paul,</w:t>
      </w:r>
      <w:r w:rsidRPr="00650739">
        <w:t xml:space="preserve"> </w:t>
      </w:r>
      <w:r>
        <w:t>“Teaching as a Ministry of Hope”,</w:t>
      </w:r>
      <w:r w:rsidRPr="00650739">
        <w:t xml:space="preserve"> </w:t>
      </w:r>
      <w:r>
        <w:t>i</w:t>
      </w:r>
      <w:r w:rsidRPr="00650739">
        <w:t xml:space="preserve">n </w:t>
      </w:r>
      <w:proofErr w:type="gramStart"/>
      <w:r w:rsidRPr="00650739">
        <w:rPr>
          <w:i/>
          <w:iCs/>
        </w:rPr>
        <w:t>The</w:t>
      </w:r>
      <w:proofErr w:type="gramEnd"/>
      <w:r w:rsidRPr="00650739">
        <w:rPr>
          <w:i/>
          <w:iCs/>
        </w:rPr>
        <w:t xml:space="preserve"> Scope of Our Art: The Vocation of the Theological Tutor</w:t>
      </w:r>
      <w:r w:rsidRPr="00650739">
        <w:t xml:space="preserve">, by L. Gregory Jones and Stephanie </w:t>
      </w:r>
      <w:proofErr w:type="spellStart"/>
      <w:r w:rsidRPr="00650739">
        <w:t>Paulsell</w:t>
      </w:r>
      <w:proofErr w:type="spellEnd"/>
      <w:r>
        <w:t xml:space="preserve"> (</w:t>
      </w:r>
      <w:r w:rsidRPr="00650739">
        <w:t>Grand Rapids: Eerdmans, 2002</w:t>
      </w:r>
      <w:r>
        <w:t>), 132-133.</w:t>
      </w:r>
    </w:p>
  </w:footnote>
  <w:footnote w:id="68">
    <w:p w:rsidR="00F31674" w:rsidRPr="00FD618E" w:rsidRDefault="00F31674">
      <w:pPr>
        <w:pStyle w:val="FootnoteText"/>
        <w:rPr>
          <w:lang w:val="en-US"/>
        </w:rPr>
      </w:pPr>
      <w:r>
        <w:rPr>
          <w:rStyle w:val="FootnoteReference"/>
        </w:rPr>
        <w:footnoteRef/>
      </w:r>
      <w:r>
        <w:t xml:space="preserve"> </w:t>
      </w:r>
      <w:proofErr w:type="gramStart"/>
      <w:r>
        <w:t>Ibid, 133.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81193"/>
      <w:docPartObj>
        <w:docPartGallery w:val="Page Numbers (Top of Page)"/>
        <w:docPartUnique/>
      </w:docPartObj>
    </w:sdtPr>
    <w:sdtEndPr/>
    <w:sdtContent>
      <w:p w:rsidR="00827099" w:rsidRDefault="00827099">
        <w:pPr>
          <w:pStyle w:val="Header"/>
          <w:jc w:val="right"/>
        </w:pPr>
        <w:proofErr w:type="spellStart"/>
        <w:r>
          <w:t>Pazdziora</w:t>
        </w:r>
        <w:proofErr w:type="spellEnd"/>
        <w:r>
          <w:t>/</w:t>
        </w:r>
        <w:r w:rsidR="00277DB9">
          <w:fldChar w:fldCharType="begin"/>
        </w:r>
        <w:r w:rsidR="00277DB9">
          <w:instrText xml:space="preserve"> PAGE   \* MERGEFORMAT </w:instrText>
        </w:r>
        <w:r w:rsidR="00277DB9">
          <w:fldChar w:fldCharType="separate"/>
        </w:r>
        <w:r w:rsidR="00D902D3">
          <w:rPr>
            <w:noProof/>
          </w:rPr>
          <w:t>2</w:t>
        </w:r>
        <w:r w:rsidR="00277DB9">
          <w:rPr>
            <w:noProof/>
          </w:rPr>
          <w:fldChar w:fldCharType="end"/>
        </w:r>
      </w:p>
    </w:sdtContent>
  </w:sdt>
  <w:p w:rsidR="00827099" w:rsidRDefault="00827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F1"/>
    <w:rsid w:val="00013FF8"/>
    <w:rsid w:val="0005054D"/>
    <w:rsid w:val="00050D8A"/>
    <w:rsid w:val="00051E9D"/>
    <w:rsid w:val="00066413"/>
    <w:rsid w:val="000A098E"/>
    <w:rsid w:val="000A2819"/>
    <w:rsid w:val="000B11AA"/>
    <w:rsid w:val="000E14DD"/>
    <w:rsid w:val="000E6A6F"/>
    <w:rsid w:val="000F0211"/>
    <w:rsid w:val="00110165"/>
    <w:rsid w:val="00111375"/>
    <w:rsid w:val="00122363"/>
    <w:rsid w:val="001356D2"/>
    <w:rsid w:val="00145410"/>
    <w:rsid w:val="00147A16"/>
    <w:rsid w:val="0015442D"/>
    <w:rsid w:val="001643F3"/>
    <w:rsid w:val="00172DE6"/>
    <w:rsid w:val="00186D27"/>
    <w:rsid w:val="001A4D4F"/>
    <w:rsid w:val="001A594F"/>
    <w:rsid w:val="001C43E6"/>
    <w:rsid w:val="001E2072"/>
    <w:rsid w:val="001F7522"/>
    <w:rsid w:val="00202B2E"/>
    <w:rsid w:val="002138C5"/>
    <w:rsid w:val="00236407"/>
    <w:rsid w:val="002526F0"/>
    <w:rsid w:val="00263184"/>
    <w:rsid w:val="002722E4"/>
    <w:rsid w:val="00277DB9"/>
    <w:rsid w:val="002844A2"/>
    <w:rsid w:val="00285680"/>
    <w:rsid w:val="002B7EAC"/>
    <w:rsid w:val="002F0D39"/>
    <w:rsid w:val="00320F3F"/>
    <w:rsid w:val="00350995"/>
    <w:rsid w:val="00352FE1"/>
    <w:rsid w:val="00363C80"/>
    <w:rsid w:val="003760E8"/>
    <w:rsid w:val="003A2881"/>
    <w:rsid w:val="003A432F"/>
    <w:rsid w:val="003A78C8"/>
    <w:rsid w:val="003E11B5"/>
    <w:rsid w:val="00425D03"/>
    <w:rsid w:val="004350CA"/>
    <w:rsid w:val="0043673B"/>
    <w:rsid w:val="004C1101"/>
    <w:rsid w:val="004D675E"/>
    <w:rsid w:val="00511696"/>
    <w:rsid w:val="00515397"/>
    <w:rsid w:val="00517BF9"/>
    <w:rsid w:val="00524C12"/>
    <w:rsid w:val="00550A92"/>
    <w:rsid w:val="005A244B"/>
    <w:rsid w:val="005F52A4"/>
    <w:rsid w:val="00606C50"/>
    <w:rsid w:val="006450BC"/>
    <w:rsid w:val="00650739"/>
    <w:rsid w:val="006B2B0D"/>
    <w:rsid w:val="006C177D"/>
    <w:rsid w:val="006D3279"/>
    <w:rsid w:val="006D61B6"/>
    <w:rsid w:val="006F1757"/>
    <w:rsid w:val="00723A66"/>
    <w:rsid w:val="007511E7"/>
    <w:rsid w:val="007737E3"/>
    <w:rsid w:val="007C5C5D"/>
    <w:rsid w:val="007D04EF"/>
    <w:rsid w:val="007E095E"/>
    <w:rsid w:val="007E30C1"/>
    <w:rsid w:val="007F6F51"/>
    <w:rsid w:val="0080693C"/>
    <w:rsid w:val="00827099"/>
    <w:rsid w:val="008369E4"/>
    <w:rsid w:val="008525DB"/>
    <w:rsid w:val="00895103"/>
    <w:rsid w:val="008C3612"/>
    <w:rsid w:val="008E0810"/>
    <w:rsid w:val="0090461D"/>
    <w:rsid w:val="009146FE"/>
    <w:rsid w:val="0092282A"/>
    <w:rsid w:val="00937EC3"/>
    <w:rsid w:val="009538EC"/>
    <w:rsid w:val="00961361"/>
    <w:rsid w:val="009B52FA"/>
    <w:rsid w:val="009E3B76"/>
    <w:rsid w:val="009F1B8C"/>
    <w:rsid w:val="009F3618"/>
    <w:rsid w:val="00A4097B"/>
    <w:rsid w:val="00A45D64"/>
    <w:rsid w:val="00A46ACD"/>
    <w:rsid w:val="00A67894"/>
    <w:rsid w:val="00A706F0"/>
    <w:rsid w:val="00A81758"/>
    <w:rsid w:val="00A852DA"/>
    <w:rsid w:val="00A9735A"/>
    <w:rsid w:val="00AB036B"/>
    <w:rsid w:val="00B22D9A"/>
    <w:rsid w:val="00B650AB"/>
    <w:rsid w:val="00B77A78"/>
    <w:rsid w:val="00BF0EDE"/>
    <w:rsid w:val="00C03A9D"/>
    <w:rsid w:val="00C206F1"/>
    <w:rsid w:val="00C42B40"/>
    <w:rsid w:val="00C56359"/>
    <w:rsid w:val="00C64379"/>
    <w:rsid w:val="00C86AD0"/>
    <w:rsid w:val="00CA14E4"/>
    <w:rsid w:val="00CD6C03"/>
    <w:rsid w:val="00CE3CB7"/>
    <w:rsid w:val="00D20D53"/>
    <w:rsid w:val="00D2382D"/>
    <w:rsid w:val="00D23D16"/>
    <w:rsid w:val="00D41EDA"/>
    <w:rsid w:val="00D60080"/>
    <w:rsid w:val="00D70775"/>
    <w:rsid w:val="00D902D3"/>
    <w:rsid w:val="00D91050"/>
    <w:rsid w:val="00DE644B"/>
    <w:rsid w:val="00DE6E20"/>
    <w:rsid w:val="00E00FA8"/>
    <w:rsid w:val="00E069A2"/>
    <w:rsid w:val="00E07F8C"/>
    <w:rsid w:val="00E26AFE"/>
    <w:rsid w:val="00E4098C"/>
    <w:rsid w:val="00E64024"/>
    <w:rsid w:val="00E650BD"/>
    <w:rsid w:val="00E65743"/>
    <w:rsid w:val="00E707AE"/>
    <w:rsid w:val="00E954E8"/>
    <w:rsid w:val="00E95E20"/>
    <w:rsid w:val="00F31674"/>
    <w:rsid w:val="00F64760"/>
    <w:rsid w:val="00F66B4D"/>
    <w:rsid w:val="00F67957"/>
    <w:rsid w:val="00FC095A"/>
    <w:rsid w:val="00FD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7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7AE"/>
    <w:rPr>
      <w:sz w:val="20"/>
      <w:szCs w:val="20"/>
      <w:lang w:val="en-GB"/>
    </w:rPr>
  </w:style>
  <w:style w:type="character" w:styleId="FootnoteReference">
    <w:name w:val="footnote reference"/>
    <w:basedOn w:val="DefaultParagraphFont"/>
    <w:semiHidden/>
    <w:unhideWhenUsed/>
    <w:rsid w:val="00E707AE"/>
    <w:rPr>
      <w:vertAlign w:val="superscript"/>
    </w:rPr>
  </w:style>
  <w:style w:type="paragraph" w:styleId="BalloonText">
    <w:name w:val="Balloon Text"/>
    <w:basedOn w:val="Normal"/>
    <w:link w:val="BalloonTextChar"/>
    <w:uiPriority w:val="99"/>
    <w:semiHidden/>
    <w:unhideWhenUsed/>
    <w:rsid w:val="00051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E9D"/>
    <w:rPr>
      <w:rFonts w:ascii="Tahoma" w:hAnsi="Tahoma" w:cs="Tahoma"/>
      <w:sz w:val="16"/>
      <w:szCs w:val="16"/>
      <w:lang w:val="en-GB"/>
    </w:rPr>
  </w:style>
  <w:style w:type="paragraph" w:styleId="Bibliography">
    <w:name w:val="Bibliography"/>
    <w:basedOn w:val="Normal"/>
    <w:next w:val="Normal"/>
    <w:uiPriority w:val="37"/>
    <w:unhideWhenUsed/>
    <w:rsid w:val="00E64024"/>
  </w:style>
  <w:style w:type="paragraph" w:styleId="Header">
    <w:name w:val="header"/>
    <w:basedOn w:val="Normal"/>
    <w:link w:val="HeaderChar"/>
    <w:uiPriority w:val="99"/>
    <w:unhideWhenUsed/>
    <w:rsid w:val="00202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B2E"/>
    <w:rPr>
      <w:lang w:val="en-GB"/>
    </w:rPr>
  </w:style>
  <w:style w:type="paragraph" w:styleId="Footer">
    <w:name w:val="footer"/>
    <w:basedOn w:val="Normal"/>
    <w:link w:val="FooterChar"/>
    <w:uiPriority w:val="99"/>
    <w:unhideWhenUsed/>
    <w:rsid w:val="00202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B2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7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7AE"/>
    <w:rPr>
      <w:sz w:val="20"/>
      <w:szCs w:val="20"/>
      <w:lang w:val="en-GB"/>
    </w:rPr>
  </w:style>
  <w:style w:type="character" w:styleId="FootnoteReference">
    <w:name w:val="footnote reference"/>
    <w:basedOn w:val="DefaultParagraphFont"/>
    <w:semiHidden/>
    <w:unhideWhenUsed/>
    <w:rsid w:val="00E707AE"/>
    <w:rPr>
      <w:vertAlign w:val="superscript"/>
    </w:rPr>
  </w:style>
  <w:style w:type="paragraph" w:styleId="BalloonText">
    <w:name w:val="Balloon Text"/>
    <w:basedOn w:val="Normal"/>
    <w:link w:val="BalloonTextChar"/>
    <w:uiPriority w:val="99"/>
    <w:semiHidden/>
    <w:unhideWhenUsed/>
    <w:rsid w:val="00051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E9D"/>
    <w:rPr>
      <w:rFonts w:ascii="Tahoma" w:hAnsi="Tahoma" w:cs="Tahoma"/>
      <w:sz w:val="16"/>
      <w:szCs w:val="16"/>
      <w:lang w:val="en-GB"/>
    </w:rPr>
  </w:style>
  <w:style w:type="paragraph" w:styleId="Bibliography">
    <w:name w:val="Bibliography"/>
    <w:basedOn w:val="Normal"/>
    <w:next w:val="Normal"/>
    <w:uiPriority w:val="37"/>
    <w:unhideWhenUsed/>
    <w:rsid w:val="00E64024"/>
  </w:style>
  <w:style w:type="paragraph" w:styleId="Header">
    <w:name w:val="header"/>
    <w:basedOn w:val="Normal"/>
    <w:link w:val="HeaderChar"/>
    <w:uiPriority w:val="99"/>
    <w:unhideWhenUsed/>
    <w:rsid w:val="00202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B2E"/>
    <w:rPr>
      <w:lang w:val="en-GB"/>
    </w:rPr>
  </w:style>
  <w:style w:type="paragraph" w:styleId="Footer">
    <w:name w:val="footer"/>
    <w:basedOn w:val="Normal"/>
    <w:link w:val="FooterChar"/>
    <w:uiPriority w:val="99"/>
    <w:unhideWhenUsed/>
    <w:rsid w:val="00202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B2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Guy05</b:Tag>
    <b:SourceType>JournalArticle</b:SourceType>
    <b:Guid>{943F9804-347F-4962-AAF4-E305FDBA71F1}</b:Guid>
    <b:Author>
      <b:Author>
        <b:NameList>
          <b:Person>
            <b:Last>Guyette</b:Last>
            <b:First>Frederick</b:First>
            <b:Middle>W.</b:Middle>
          </b:Person>
        </b:NameList>
      </b:Author>
    </b:Author>
    <b:Title>Revisiting H. Richard Niebuhr's The Purpose of the Church and Its Ministry: Love of God and Neighbor in Theological Education</b:Title>
    <b:Year>2005</b:Year>
    <b:JournalName>Theological Education</b:JournalName>
    <b:Pages>153-164</b:Pages>
    <b:Volume>41</b:Volume>
    <b:Issue>1</b:Issue>
    <b:RefOrder>1</b:RefOrder>
  </b:Source>
  <b:Source>
    <b:Tag>Fol05</b:Tag>
    <b:SourceType>JournalArticle</b:SourceType>
    <b:Guid>{7E59E2C9-DD77-4810-BE05-015304AF9430}</b:Guid>
    <b:Author>
      <b:Author>
        <b:NameList>
          <b:Person>
            <b:Last>Foley</b:Last>
            <b:First>Edward</b:First>
          </b:Person>
        </b:NameList>
      </b:Author>
    </b:Author>
    <b:Title>Theological Education, Theology and Technology: When Baby Boomer Theologians Teach Generations X &amp; Y</b:Title>
    <b:JournalName>Theological Education</b:JournalName>
    <b:Year>2005</b:Year>
    <b:Pages>45-56</b:Pages>
    <b:Volume>41</b:Volume>
    <b:Issue>1</b:Issue>
    <b:RefOrder>2</b:RefOrder>
  </b:Source>
  <b:Source>
    <b:Tag>Bai03</b:Tag>
    <b:SourceType>JournalArticle</b:SourceType>
    <b:Guid>{BA21023D-AA8F-4484-A770-DBC273BB5082}</b:Guid>
    <b:Author>
      <b:Author>
        <b:NameList>
          <b:Person>
            <b:Last>Bain-Selbo</b:Last>
            <b:First>Eric</b:First>
          </b:Person>
        </b:NameList>
      </b:Author>
    </b:Author>
    <b:Title>From Pride to Cowardice: Obstacles to the Dialogical Classroom</b:Title>
    <b:JournalName>Teaching Theology and Religion</b:JournalName>
    <b:Year>2003</b:Year>
    <b:Pages>3-8</b:Pages>
    <b:Volume>6</b:Volume>
    <b:Issue>1</b:Issue>
    <b:RefOrder>3</b:RefOrder>
  </b:Source>
  <b:Source>
    <b:Tag>Wim04</b:Tag>
    <b:SourceType>JournalArticle</b:SourceType>
    <b:Guid>{071D64ED-E455-45C8-ABAA-B0ACF875C4DF}</b:Guid>
    <b:Author>
      <b:Author>
        <b:NameList>
          <b:Person>
            <b:Last>Wimberley</b:Last>
            <b:First>Anne</b:First>
            <b:Middle>E. Streaty</b:Middle>
          </b:Person>
        </b:NameList>
      </b:Author>
    </b:Author>
    <b:Title>Hospitable Kinship in Theological Education</b:Title>
    <b:JournalName>Teaching Theology and Religion</b:JournalName>
    <b:Year>2004</b:Year>
    <b:Pages>3-12</b:Pages>
    <b:Volume>7</b:Volume>
    <b:Issue>1</b:Issue>
    <b:RefOrder>4</b:RefOrder>
  </b:Source>
  <b:Source>
    <b:Tag>Hil05</b:Tag>
    <b:SourceType>JournalArticle</b:SourceType>
    <b:Guid>{6046A28B-0611-4864-A98D-91E13B7D54F2}</b:Guid>
    <b:Author>
      <b:Author>
        <b:NameList>
          <b:Person>
            <b:Last>Hill</b:Last>
            <b:First>Jack</b:First>
            <b:Middle>A.</b:Middle>
          </b:Person>
        </b:NameList>
      </b:Author>
    </b:Author>
    <b:Title>Teaching for Transformation: Insights from Fiji, India, South America, and Jamaica</b:Title>
    <b:JournalName>Teaching Theology and Religion</b:JournalName>
    <b:Year>2005</b:Year>
    <b:Pages>218-231</b:Pages>
    <b:Volume>8</b:Volume>
    <b:Issue>4</b:Issue>
    <b:RefOrder>5</b:RefOrder>
  </b:Source>
  <b:Source>
    <b:Tag>Feo05</b:Tag>
    <b:SourceType>BookSection</b:SourceType>
    <b:Guid>{692DCC10-B78F-4A8C-B31F-1293DD013F04}</b:Guid>
    <b:Author>
      <b:Author>
        <b:NameList>
          <b:Person>
            <b:Last>Feodorov</b:Last>
            <b:First>Vladimir</b:First>
          </b:Person>
        </b:NameList>
      </b:Author>
      <b:BookAuthor>
        <b:NameList>
          <b:Person>
            <b:Last>Penner</b:Last>
            <b:First>Peter</b:First>
            <b:Middle>E.</b:Middle>
          </b:Person>
        </b:NameList>
      </b:BookAuthor>
    </b:Author>
    <b:Title>Orthodox View on Theological Education as Mission</b:Title>
    <b:Year>2005</b:Year>
    <b:Pages>69-101</b:Pages>
    <b:BookTitle>Theological Education as Mission</b:BookTitle>
    <b:City>Scharzenfeld, Germany</b:City>
    <b:Publisher>Neyfeld Verlag</b:Publisher>
    <b:RefOrder>6</b:RefOrder>
  </b:Source>
  <b:Source>
    <b:Tag>Kir05</b:Tag>
    <b:SourceType>BookSection</b:SourceType>
    <b:Guid>{42D1BB2C-653E-4908-8A0D-16E7306B3581}</b:Guid>
    <b:Author>
      <b:Author>
        <b:NameList>
          <b:Person>
            <b:Last>Kirk</b:Last>
            <b:First>Andrew</b:First>
          </b:Person>
        </b:NameList>
      </b:Author>
      <b:BookAuthor>
        <b:NameList>
          <b:Person>
            <b:Last>Penner</b:Last>
            <b:First>Peter</b:First>
            <b:Middle>F.</b:Middle>
          </b:Person>
        </b:NameList>
      </b:BookAuthor>
    </b:Author>
    <b:Title>Re-envisioning the Theological Curriculum as if the Missio Dei mattered</b:Title>
    <b:Year>2005</b:Year>
    <b:City>Scharzenfeld,Germany</b:City>
    <b:Publisher>Neufeld Verlag</b:Publisher>
    <b:BookTitle>Theological Education as Mission</b:BookTitle>
    <b:Pages>22-37</b:Pages>
    <b:RefOrder>7</b:RefOrder>
  </b:Source>
  <b:Source>
    <b:Tag>Pil05</b:Tag>
    <b:SourceType>BookSection</b:SourceType>
    <b:Guid>{0A387313-E831-4974-8E15-C9E70B5DFBB1}</b:Guid>
    <b:Author>
      <b:Author>
        <b:NameList>
          <b:Person>
            <b:Last>Pilli</b:Last>
            <b:First>Einike</b:First>
          </b:Person>
        </b:NameList>
      </b:Author>
      <b:BookAuthor>
        <b:NameList>
          <b:Person>
            <b:Last>Penner</b:Last>
            <b:First>Peter</b:First>
            <b:Middle>F.</b:Middle>
          </b:Person>
        </b:NameList>
      </b:BookAuthor>
    </b:Author>
    <b:Title>Toward a Holistic View of Theological Education: Response to Linda Cannell's paper 'Opportunities for 21st Century International Theological Education'</b:Title>
    <b:BookTitle>Theological Education as Mission</b:BookTitle>
    <b:Year>2005</b:Year>
    <b:Pages>171-184</b:Pages>
    <b:City>Scharzenfeld, Germany</b:City>
    <b:Publisher>Neufeld Verlag</b:Publisher>
    <b:RefOrder>8</b:RefOrder>
  </b:Source>
  <b:Source>
    <b:Tag>Pal93</b:Tag>
    <b:SourceType>Book</b:SourceType>
    <b:Guid>{F9A28566-BEF9-4D57-9AD7-F802AFBF009E}</b:Guid>
    <b:Author>
      <b:Author>
        <b:NameList>
          <b:Person>
            <b:Last>Palmer</b:Last>
            <b:First>Parker</b:First>
          </b:Person>
        </b:NameList>
      </b:Author>
    </b:Author>
    <b:Title>To Know as we are Known</b:Title>
    <b:Year>1993</b:Year>
    <b:City>New York</b:City>
    <b:Publisher>Harper Collins</b:Publisher>
    <b:RefOrder>9</b:RefOrder>
  </b:Source>
  <b:Source>
    <b:Tag>Hen76</b:Tag>
    <b:SourceType>Book</b:SourceType>
    <b:Guid>{57CC2628-4325-475E-B946-86EA56861FBC}</b:Guid>
    <b:Author>
      <b:Author>
        <b:NameList>
          <b:Person>
            <b:Last>Nouwen</b:Last>
            <b:First>Henri</b:First>
            <b:Middle>J. M.</b:Middle>
          </b:Person>
        </b:NameList>
      </b:Author>
    </b:Author>
    <b:Title>Reaching Out: The Three Movements of the Spiritual Life</b:Title>
    <b:Year>1976</b:Year>
    <b:City>Glasgow</b:City>
    <b:Publisher>William Collins Sons &amp; Co Ltd</b:Publisher>
    <b:RefOrder>10</b:RefOrder>
  </b:Source>
  <b:Source>
    <b:Tag>Vin03</b:Tag>
    <b:SourceType>Book</b:SourceType>
    <b:Guid>{281B3BCA-5885-415C-870F-758AC3F93A9B}</b:Guid>
    <b:Author>
      <b:Author>
        <b:NameList>
          <b:Person>
            <b:Last>Donovan</b:Last>
            <b:First>Vincent</b:First>
            <b:Middle>J.</b:Middle>
          </b:Person>
        </b:NameList>
      </b:Author>
    </b:Author>
    <b:Title>Christianity Rediscovered</b:Title>
    <b:Year>2003</b:Year>
    <b:City>Maryknoll, New York</b:City>
    <b:Publisher>Orbis Books</b:Publisher>
    <b:Edition>Twenty-Fifth Anniversary Edition</b:Edition>
    <b:RefOrder>11</b:RefOrder>
  </b:Source>
  <b:Source>
    <b:Tag>Her04</b:Tag>
    <b:SourceType>Misc</b:SourceType>
    <b:Guid>{0BD84FA6-95E0-47B4-9F2B-0B183EB94259}</b:Guid>
    <b:Author>
      <b:Author>
        <b:NameList>
          <b:Person>
            <b:Last>Heron</b:Last>
            <b:First>Sharon</b:First>
            <b:Middle>Jane Susanne</b:Middle>
          </b:Person>
        </b:NameList>
      </b:Author>
    </b:Author>
    <b:Title>An explanation of the relationship between tutor and student in the context of fulfilling the objectives of theological education, with special reference to the Colleges of the Institute of Theology at the Queen's University, Belfast</b:Title>
    <b:Year>2004</b:Year>
    <b:PublicationTitle>MTh, Queen's University Belfast</b:PublicationTitle>
    <b:Month>January</b:Month>
    <b:StandardNumber>CTE.A.148</b:StandardNumber>
    <b:RefOrder>12</b:RefOrder>
  </b:Source>
  <b:Source>
    <b:Tag>Mal02</b:Tag>
    <b:SourceType>BookSection</b:SourceType>
    <b:Guid>{A51ACE04-3586-4272-B6F0-3CE58F3D2DAC}</b:Guid>
    <b:Author>
      <b:Author>
        <b:NameList>
          <b:Person>
            <b:Last>Malcolm</b:Last>
            <b:First>Lois</b:First>
          </b:Person>
        </b:NameList>
      </b:Author>
      <b:BookAuthor>
        <b:NameList>
          <b:Person>
            <b:Last>Jones</b:Last>
            <b:First>L.</b:First>
            <b:Middle>Gregory</b:Middle>
          </b:Person>
          <b:Person>
            <b:Last>Paulsell</b:Last>
            <b:First>Stephanie</b:First>
          </b:Person>
        </b:NameList>
      </b:BookAuthor>
    </b:Author>
    <b:Title>Teaching as Cultivating Wisdom for a Complex World</b:Title>
    <b:Year>2002</b:Year>
    <b:City>Grand Rapids</b:City>
    <b:Publisher>Eerdmans</b:Publisher>
    <b:BookTitle>The Scope of Our Art: The Vocation of the Theological Tutor</b:BookTitle>
    <b:Pages>135-170</b:Pages>
    <b:RefOrder>13</b:RefOrder>
  </b:Source>
  <b:Source>
    <b:Tag>Sim02</b:Tag>
    <b:SourceType>BookSection</b:SourceType>
    <b:Guid>{3869B189-BA08-4120-9E04-14CA3CE00EDE}</b:Guid>
    <b:Author>
      <b:Author>
        <b:NameList>
          <b:Person>
            <b:Last>Simonaitis</b:Last>
            <b:First>Susan</b:First>
            <b:Middle>M.</b:Middle>
          </b:Person>
        </b:NameList>
      </b:Author>
      <b:BookAuthor>
        <b:NameList>
          <b:Person>
            <b:Last>Jones</b:Last>
            <b:First>L.</b:First>
            <b:Middle>Gregory</b:Middle>
          </b:Person>
          <b:Person>
            <b:Last>Paulsell</b:Last>
            <b:First>Stephanie</b:First>
          </b:Person>
        </b:NameList>
      </b:BookAuthor>
    </b:Author>
    <b:Title>Teaching as Conversation</b:Title>
    <b:BookTitle>The Scope of Our Art: The Vocation of the Theological Tutor</b:BookTitle>
    <b:Year>2002</b:Year>
    <b:Pages>99-120</b:Pages>
    <b:City>Grand Rapids</b:City>
    <b:Publisher>Eerdmans</b:Publisher>
    <b:RefOrder>14</b:RefOrder>
  </b:Source>
  <b:Source>
    <b:Tag>Wad</b:Tag>
    <b:SourceType>BookSection</b:SourceType>
    <b:Guid>{6C08C46B-D785-42D4-88D2-FFCA4A5B7FB1}</b:Guid>
    <b:Author>
      <b:Author>
        <b:NameList>
          <b:Person>
            <b:Last>Wadell</b:Last>
            <b:First>Paul</b:First>
          </b:Person>
        </b:NameList>
      </b:Author>
      <b:BookAuthor>
        <b:NameList>
          <b:Person>
            <b:Last>Jones</b:Last>
            <b:First>L.</b:First>
            <b:Middle>Gregory</b:Middle>
          </b:Person>
          <b:Person>
            <b:Last>Paulsell</b:Last>
            <b:First>Stephanie</b:First>
          </b:Person>
        </b:NameList>
      </b:BookAuthor>
    </b:Author>
    <b:Title>Teaching as a Ministry of Hope</b:Title>
    <b:BookTitle>The Scope of Our Art: The Vocation of the Theological Tutor</b:BookTitle>
    <b:Year>2002</b:Year>
    <b:Pages>120-135</b:Pages>
    <b:City>Grand Rapids</b:City>
    <b:Publisher>Eerdmans</b:Publisher>
    <b:RefOrder>15</b:RefOrder>
  </b:Source>
  <b:Source>
    <b:Tag>Chend1</b:Tag>
    <b:SourceType>Misc</b:SourceType>
    <b:Guid>{44A5C948-8E06-43BF-A3E2-F533C22ED27D}</b:Guid>
    <b:Author>
      <b:Author>
        <b:NameList>
          <b:Person>
            <b:Last>Cheesman</b:Last>
            <b:First>Graham</b:First>
          </b:Person>
        </b:NameList>
      </b:Author>
    </b:Author>
    <b:Title>CTE 1 - Philosophy of Theological Education: The Role of the Tutor</b:Title>
    <b:Year>n.d.</b:Year>
    <b:Publisher>Unpublished Class Notes</b:Publisher>
    <b:RefOrder>16</b:RefOrder>
  </b:Source>
  <b:Source>
    <b:Tag>Ogl03</b:Tag>
    <b:SourceType>Book</b:SourceType>
    <b:Guid>{A169B5EC-6797-412D-9746-96D2380D9FB6}</b:Guid>
    <b:Author>
      <b:Author>
        <b:NameList>
          <b:Person>
            <b:Last>Ogletree</b:Last>
            <b:First>Thomas</b:First>
            <b:Middle>W.</b:Middle>
          </b:Person>
        </b:NameList>
      </b:Author>
    </b:Author>
    <b:Title>Hospitality to the Stranger: Dimensions of Moral Understanding</b:Title>
    <b:Year>2003</b:Year>
    <b:City>Louisville</b:City>
    <b:Publisher>Westminster John Knox</b:Publisher>
    <b:RefOrder>17</b:RefOrder>
  </b:Source>
  <b:Source>
    <b:Tag>Can05</b:Tag>
    <b:SourceType>BookSection</b:SourceType>
    <b:Guid>{E29E4B28-106C-4112-B2E5-649352FC320D}</b:Guid>
    <b:Author>
      <b:Author>
        <b:NameList>
          <b:Person>
            <b:Last>Canell</b:Last>
            <b:First>Linda</b:First>
          </b:Person>
        </b:NameList>
      </b:Author>
      <b:BookAuthor>
        <b:NameList>
          <b:Person>
            <b:Last>Penner</b:Last>
            <b:First>Peter</b:First>
            <b:Middle>F.</b:Middle>
          </b:Person>
        </b:NameList>
      </b:BookAuthor>
    </b:Author>
    <b:Title>Opportunities for 21st Century Theological Education</b:Title>
    <b:Year>2005</b:Year>
    <b:City>Scharzenfeld, Germany</b:City>
    <b:Publisher>Neufeld Verlag</b:Publisher>
    <b:BookTitle>Theological Education as Mission</b:BookTitle>
    <b:Pages>153-170</b:Pages>
    <b:RefOrder>18</b:RefOrder>
  </b:Source>
  <b:Source>
    <b:Tag>Rog02</b:Tag>
    <b:SourceType>Book</b:SourceType>
    <b:Guid>{5B8D7534-1320-4F30-A839-5313CCDD1C3B}</b:Guid>
    <b:Author>
      <b:Author>
        <b:NameList>
          <b:Person>
            <b:Last>Rogers</b:Last>
            <b:First>Alan</b:First>
          </b:Person>
        </b:NameList>
      </b:Author>
    </b:Author>
    <b:Title>Teaching Adults</b:Title>
    <b:Year>2002</b:Year>
    <b:City>Maidenhead</b:City>
    <b:Publisher>Open University Press</b:Publisher>
    <b:Edition>Third Edition</b:Edition>
    <b:RefOrder>19</b:RefOrder>
  </b:Source>
  <b:Source>
    <b:Tag>Tol66</b:Tag>
    <b:SourceType>Book</b:SourceType>
    <b:Guid>{B46B6CC1-D9E1-4481-86A6-D53694DE4D20}</b:Guid>
    <b:Author>
      <b:Author>
        <b:NameList>
          <b:Person>
            <b:Last>Tolkien</b:Last>
            <b:First>J.</b:First>
            <b:Middle>R. R.</b:Middle>
          </b:Person>
        </b:NameList>
      </b:Author>
    </b:Author>
    <b:Title>The Tolkien Reader</b:Title>
    <b:Year>1966</b:Year>
    <b:City>New York</b:City>
    <b:Publisher>Ballantine</b:Publisher>
    <b:RefOrder>20</b:RefOrder>
  </b:Source>
  <b:Source>
    <b:Tag>Fos05</b:Tag>
    <b:SourceType>JournalArticle</b:SourceType>
    <b:Guid>{023496C3-76BC-4886-BE42-0646138BA375}</b:Guid>
    <b:Author>
      <b:Author>
        <b:NameList>
          <b:Person>
            <b:Last>Foster</b:Last>
            <b:First>Charles</b:First>
            <b:Middle>R., et al.</b:Middle>
          </b:Person>
        </b:NameList>
      </b:Author>
    </b:Author>
    <b:Title>Pedagogies of Interpretation in Educating Clergy</b:Title>
    <b:JournalName>Teaching Theology and Religion</b:JournalName>
    <b:Year>2005</b:Year>
    <b:Pages>204-217</b:Pages>
    <b:Volume>8</b:Volume>
    <b:Issue>4</b:Issue>
    <b:RefOrder>21</b:RefOrder>
  </b:Source>
  <b:Source>
    <b:Tag>Che05</b:Tag>
    <b:SourceType>Misc</b:SourceType>
    <b:Guid>{AD883090-91FB-4C4C-BCD5-9E5DDB463B6A}</b:Guid>
    <b:Author>
      <b:Author>
        <b:NameList>
          <b:Person>
            <b:Last>Cheesman</b:Last>
            <b:First>Graham</b:First>
          </b:Person>
        </b:NameList>
      </b:Author>
    </b:Author>
    <b:Title>A Conversation with Henri Nouwen about Theological Education</b:Title>
    <b:Year>2005</b:Year>
    <b:Edition>Unpublished Article</b:Edition>
    <b:City>Unpublished Article</b:City>
    <b:RefOrder>2</b:RefOrder>
  </b:Source>
  <b:Source>
    <b:Tag>Kel93</b:Tag>
    <b:SourceType>Book</b:SourceType>
    <b:Guid>{A97AC9B6-A821-4E15-BB8A-3E7754EFDD7A}</b:Guid>
    <b:Author>
      <b:Author>
        <b:NameList>
          <b:Person>
            <b:Last>Kelsey</b:Last>
            <b:First>David</b:First>
          </b:Person>
        </b:NameList>
      </b:Author>
    </b:Author>
    <b:Title>Between Athens and Berlin</b:Title>
    <b:Year>1993</b:Year>
    <b:City>Grand Rapids</b:City>
    <b:Publisher>Eerdmans</b:Publisher>
    <b:RefOrder>3</b:RefOrder>
  </b:Source>
  <b:Source>
    <b:Tag>Joh92</b:Tag>
    <b:SourceType>Book</b:SourceType>
    <b:Guid>{DE75EA0E-BEF1-4683-8C5A-0A15CFBFD30E}</b:Guid>
    <b:Title>Pastores Dabo Vobis: Post-Synodal Apostolic Exhortation of His Holiness John Paul II on the Formation of Priests in the Circumstances of the Present Day</b:Title>
    <b:Year>1992</b:Year>
    <b:City>London</b:City>
    <b:Publisher>Catholic Truth Society</b:Publisher>
    <b:RefOrder>6</b:RefOrder>
  </b:Source>
  <b:Source>
    <b:Tag>Amind</b:Tag>
    <b:SourceType>BookSection</b:SourceType>
    <b:Guid>{1E186C78-9F3A-4AE7-8B5F-C419DBAF414F}</b:Guid>
    <b:Author>
      <b:Editor>
        <b:NameList>
          <b:Person>
            <b:Last>Amithram</b:Last>
            <b:First>Samuel</b:First>
          </b:Person>
          <b:Person>
            <b:Last>Pryor</b:Last>
            <b:First>Robin</b:First>
          </b:Person>
        </b:NameList>
      </b:Editor>
    </b:Author>
    <b:Title>The Iona Document on Spiritual Formation</b:Title>
    <b:Year>n.d.</b:Year>
    <b:Publisher>WCC</b:Publisher>
    <b:City>Geneva</b:City>
    <b:Pages>146-155</b:Pages>
    <b:ConferenceName>Invitation to the Feast of Life: Resources for Spiritual Formation in Theological Education</b:ConferenceName>
    <b:BookTitle>Invitation to the Feast of Life</b:BookTitle>
    <b:RefOrder>7</b:RefOrder>
  </b:Source>
  <b:Source>
    <b:Tag>Rep72</b:Tag>
    <b:SourceType>JournalArticle</b:SourceType>
    <b:Guid>{5BCE4365-0DF9-489F-8E3C-8604F72E7325}</b:Guid>
    <b:Title>Report of the Task Force on Spiritual Direction</b:Title>
    <b:Year>1972</b:Year>
    <b:Pages>153-197</b:Pages>
    <b:PeriodicalTitle>Theological Education</b:PeriodicalTitle>
    <b:Month>Spring</b:Month>
    <b:JournalName>Theological Education</b:JournalName>
    <b:RefOrder>8</b:RefOrder>
  </b:Source>
  <b:Source>
    <b:Tag>Edw80</b:Tag>
    <b:SourceType>JournalArticle</b:SourceType>
    <b:Guid>{CDAA15FE-1EC7-471B-B895-7D978D28EC1C}</b:Guid>
    <b:Author>
      <b:Author>
        <b:NameList>
          <b:Person>
            <b:Last>Edwards Jr.</b:Last>
            <b:First>Tilden</b:First>
            <b:Middle>H.</b:Middle>
          </b:Person>
        </b:NameList>
      </b:Author>
    </b:Author>
    <b:Title>Spiritual Formation in Theological Schools: Ferment and Challenge</b:Title>
    <b:JournalName>Theological Education</b:JournalName>
    <b:Year>1980</b:Year>
    <b:Pages>7-52</b:Pages>
    <b:RefOrder>9</b:RefOrder>
  </b:Source>
  <b:Source>
    <b:Tag>Sch85</b:Tag>
    <b:SourceType>JournalArticle</b:SourceType>
    <b:Guid>{52439B25-D1BB-4053-847F-0EFD3D6F4F8B}</b:Guid>
    <b:Author>
      <b:Author>
        <b:NameList>
          <b:Person>
            <b:Last>Schner</b:Last>
            <b:First>George</b:First>
            <b:Middle>P.</b:Middle>
          </b:Person>
        </b:NameList>
      </b:Author>
    </b:Author>
    <b:Title>Formation as a unifying concept of theological education</b:Title>
    <b:JournalName>Theological Education</b:JournalName>
    <b:Year>1985</b:Year>
    <b:Pages>94-113</b:Pages>
    <b:Month>Spring</b:Month>
    <b:RefOrder>10</b:RefOrder>
  </b:Source>
  <b:Source>
    <b:Tag>Smi96</b:Tag>
    <b:SourceType>JournalArticle</b:SourceType>
    <b:Guid>{5D429BD7-BD9A-461C-94B8-09FB7038D772}</b:Guid>
    <b:Author>
      <b:Author>
        <b:NameList>
          <b:Person>
            <b:Last>Smith</b:Last>
            <b:First>Gordon</b:First>
            <b:Middle>T.</b:Middle>
          </b:Person>
        </b:NameList>
      </b:Author>
    </b:Author>
    <b:Title>Spiritual formation in the academy: a unifying model</b:Title>
    <b:JournalName>Theological Education</b:JournalName>
    <b:Year>1996</b:Year>
    <b:Pages>83-91</b:Pages>
    <b:Volume>33</b:Volume>
    <b:Issue>1</b:Issue>
    <b:RefOrder>11</b:RefOrder>
  </b:Source>
  <b:Source>
    <b:Tag>Chend</b:Tag>
    <b:SourceType>DocumentFromInternetSite</b:SourceType>
    <b:Guid>{B3C08DF3-3499-46AD-84BE-8014A1160E56}</b:Guid>
    <b:Author>
      <b:Author>
        <b:NameList>
          <b:Person>
            <b:Last>Cheesman</b:Last>
            <b:First>Graham</b:First>
          </b:Person>
        </b:NameList>
      </b:Author>
    </b:Author>
    <b:Title>Spiritual Formation as a goal of Theological Education</b:Title>
    <b:City>Unpublished Article</b:City>
    <b:URL>www.theologicaleducation.org/resources</b:URL>
    <b:RefOrder>14</b:RefOrder>
  </b:Source>
  <b:Source>
    <b:Tag>Ban99</b:Tag>
    <b:SourceType>Book</b:SourceType>
    <b:Guid>{2E75899B-366F-454D-BEB3-647556BEA775}</b:Guid>
    <b:Author>
      <b:Author>
        <b:NameList>
          <b:Person>
            <b:Last>Banks</b:Last>
            <b:First>Robert</b:First>
          </b:Person>
        </b:NameList>
      </b:Author>
    </b:Author>
    <b:Title>Reenvisioning Theological Education: Exploring a Missional Alternative to Current Models</b:Title>
    <b:Year>1999</b:Year>
    <b:City>Grand Rapids</b:City>
    <b:Publisher>Eerdmans</b:Publisher>
    <b:RefOrder>15</b:RefOrder>
  </b:Source>
  <b:Source>
    <b:Tag>Wor07</b:Tag>
    <b:SourceType>JournalArticle</b:SourceType>
    <b:Guid>{67B82159-11E7-4D23-A37D-28338903AB16}</b:Guid>
    <b:Author>
      <b:Author>
        <b:NameList>
          <b:Person>
            <b:Last>Work</b:Last>
            <b:First>Telform</b:First>
          </b:Person>
        </b:NameList>
      </b:Author>
    </b:Author>
    <b:Title>Education as Mission</b:Title>
    <b:Year>2007</b:Year>
    <b:JournalName>Journal of Education and Christian Belief</b:JournalName>
    <b:Month>Spring</b:Month>
    <b:RefOrder>16</b:RefOrder>
  </b:Source>
  <b:Source>
    <b:Tag>Col04</b:Tag>
    <b:SourceType>Book</b:SourceType>
    <b:Guid>{B45DC2D3-A986-4F31-A4E4-41F1B0D5C4E8}</b:Guid>
    <b:Author>
      <b:Author>
        <b:NameList>
          <b:Person>
            <b:Last>Collinson</b:Last>
            <b:First>Sylvia</b:First>
            <b:Middle>Wilkey</b:Middle>
          </b:Person>
        </b:NameList>
      </b:Author>
    </b:Author>
    <b:Title>Making Disciples: The Significance of Jesus' Educational Methods for Today's Church</b:Title>
    <b:Year>2004</b:Year>
    <b:City>Milton Keynes, UK</b:City>
    <b:Publisher>Paternoster</b:Publisher>
    <b:RefOrder>17</b:RefOrder>
  </b:Source>
  <b:Source>
    <b:Tag>The</b:Tag>
    <b:SourceType>InternetSite</b:SourceType>
    <b:Guid>{CC9E3351-CA43-4F02-A5BD-5DBEFB6C0AFF}</b:Guid>
    <b:Author>
      <b:Author>
        <b:Corporate>The Brothers and Sisters of Charity</b:Corporate>
      </b:Author>
    </b:Author>
    <b:Title>Monastic Life</b:Title>
    <b:Year>2008</b:Year>
    <b:YearAccessed>2008</b:YearAccessed>
    <b:MonthAccessed>October</b:MonthAccessed>
    <b:DayAccessed>24</b:DayAccessed>
    <b:URL>http://www.littleportion.org/Vocation/index.asp?id=52</b:URL>
    <b:RefOrder>18</b:RefOrder>
  </b:Source>
</b:Sources>
</file>

<file path=customXml/itemProps1.xml><?xml version="1.0" encoding="utf-8"?>
<ds:datastoreItem xmlns:ds="http://schemas.openxmlformats.org/officeDocument/2006/customXml" ds:itemID="{A81B158B-0198-4BB3-A658-FA2A073C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4</cp:revision>
  <cp:lastPrinted>2008-11-28T16:28:00Z</cp:lastPrinted>
  <dcterms:created xsi:type="dcterms:W3CDTF">2010-10-16T16:22:00Z</dcterms:created>
  <dcterms:modified xsi:type="dcterms:W3CDTF">2010-10-28T07:16:00Z</dcterms:modified>
  <cp:contentStatus/>
</cp:coreProperties>
</file>